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326B" w14:textId="77777777" w:rsidR="007C71CF" w:rsidRPr="009D25C7" w:rsidRDefault="007C71CF" w:rsidP="009D25C7">
      <w:pPr>
        <w:pStyle w:val="Name"/>
        <w:rPr>
          <w:caps w:val="0"/>
          <w:szCs w:val="24"/>
        </w:rPr>
      </w:pPr>
      <w:r w:rsidRPr="009D25C7">
        <w:rPr>
          <w:szCs w:val="24"/>
        </w:rPr>
        <w:t>Thomas L. Scott</w:t>
      </w:r>
    </w:p>
    <w:p w14:paraId="4237310D" w14:textId="7777777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Summary of Professional Experience</w:t>
      </w:r>
    </w:p>
    <w:p w14:paraId="4C6CA530" w14:textId="76C9168A" w:rsidR="00AF13EF" w:rsidRPr="001D6CB0" w:rsidRDefault="000C70C3" w:rsidP="009D25C7">
      <w:pPr>
        <w:pStyle w:val="R-Text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Dr.</w:t>
      </w:r>
      <w:r w:rsidRPr="001D6CB0">
        <w:rPr>
          <w:szCs w:val="24"/>
        </w:rPr>
        <w:t xml:space="preserve"> </w:t>
      </w:r>
      <w:r w:rsidR="006506FB" w:rsidRPr="001D6CB0">
        <w:rPr>
          <w:szCs w:val="24"/>
        </w:rPr>
        <w:t>Scott</w:t>
      </w:r>
      <w:r>
        <w:rPr>
          <w:szCs w:val="24"/>
        </w:rPr>
        <w:t xml:space="preserve"> is </w:t>
      </w:r>
      <w:r w:rsidR="006506FB" w:rsidRPr="001D6CB0">
        <w:rPr>
          <w:szCs w:val="24"/>
        </w:rPr>
        <w:t xml:space="preserve">a </w:t>
      </w:r>
      <w:r w:rsidR="00BB4043">
        <w:rPr>
          <w:szCs w:val="24"/>
        </w:rPr>
        <w:t>social scientist</w:t>
      </w:r>
      <w:r w:rsidR="006506FB" w:rsidRPr="001D6CB0">
        <w:rPr>
          <w:szCs w:val="24"/>
        </w:rPr>
        <w:t xml:space="preserve"> in </w:t>
      </w:r>
      <w:r>
        <w:rPr>
          <w:szCs w:val="24"/>
        </w:rPr>
        <w:t>RTI’s Center for Policing Research and Investigative Science. He</w:t>
      </w:r>
      <w:r w:rsidR="006506FB" w:rsidRPr="001D6CB0">
        <w:rPr>
          <w:szCs w:val="24"/>
        </w:rPr>
        <w:t xml:space="preserve"> </w:t>
      </w:r>
      <w:r w:rsidR="00AF13EF" w:rsidRPr="001D6CB0">
        <w:rPr>
          <w:szCs w:val="24"/>
        </w:rPr>
        <w:t>partner</w:t>
      </w:r>
      <w:r>
        <w:rPr>
          <w:szCs w:val="24"/>
        </w:rPr>
        <w:t>s</w:t>
      </w:r>
      <w:r w:rsidR="00AF13EF" w:rsidRPr="001D6CB0">
        <w:rPr>
          <w:szCs w:val="24"/>
        </w:rPr>
        <w:t xml:space="preserve"> with law enforcement agencies </w:t>
      </w:r>
      <w:r>
        <w:rPr>
          <w:szCs w:val="24"/>
        </w:rPr>
        <w:t xml:space="preserve">and community organizations </w:t>
      </w:r>
      <w:r w:rsidR="00AF13EF" w:rsidRPr="001D6CB0">
        <w:rPr>
          <w:szCs w:val="24"/>
        </w:rPr>
        <w:t>to</w:t>
      </w:r>
      <w:r>
        <w:rPr>
          <w:szCs w:val="24"/>
        </w:rPr>
        <w:t xml:space="preserve"> advance data-driven practices and to</w:t>
      </w:r>
      <w:r w:rsidR="00AF13EF" w:rsidRPr="001D6CB0">
        <w:rPr>
          <w:szCs w:val="24"/>
        </w:rPr>
        <w:t xml:space="preserve"> conduct research on crime </w:t>
      </w:r>
      <w:r>
        <w:rPr>
          <w:szCs w:val="24"/>
        </w:rPr>
        <w:t xml:space="preserve">prevention, criminal </w:t>
      </w:r>
      <w:r w:rsidR="00AF13EF" w:rsidRPr="001D6CB0">
        <w:rPr>
          <w:szCs w:val="24"/>
        </w:rPr>
        <w:t>investigations</w:t>
      </w:r>
      <w:r>
        <w:rPr>
          <w:szCs w:val="24"/>
        </w:rPr>
        <w:t>,</w:t>
      </w:r>
      <w:r w:rsidR="00AF13EF" w:rsidRPr="001D6CB0">
        <w:rPr>
          <w:szCs w:val="24"/>
        </w:rPr>
        <w:t xml:space="preserve"> </w:t>
      </w:r>
      <w:r>
        <w:rPr>
          <w:szCs w:val="24"/>
        </w:rPr>
        <w:t xml:space="preserve">domestic violence, </w:t>
      </w:r>
      <w:r w:rsidR="00AF13EF" w:rsidRPr="001D6CB0">
        <w:rPr>
          <w:szCs w:val="24"/>
        </w:rPr>
        <w:t>and gun</w:t>
      </w:r>
      <w:r>
        <w:rPr>
          <w:szCs w:val="24"/>
        </w:rPr>
        <w:t xml:space="preserve"> violence</w:t>
      </w:r>
      <w:r w:rsidR="00AF13EF" w:rsidRPr="001D6CB0">
        <w:rPr>
          <w:szCs w:val="24"/>
        </w:rPr>
        <w:t>.</w:t>
      </w:r>
      <w:r w:rsidR="00AF13EF">
        <w:rPr>
          <w:szCs w:val="24"/>
        </w:rPr>
        <w:t xml:space="preserve"> </w:t>
      </w:r>
      <w:r w:rsidR="00F755A5">
        <w:rPr>
          <w:szCs w:val="24"/>
        </w:rPr>
        <w:t>He has developed an expertise in the fields of criminology, policing, evaluation design, and data analysis, which he uses to test potential ways to improve society.</w:t>
      </w:r>
    </w:p>
    <w:p w14:paraId="6CA082BE" w14:textId="7777777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Education</w:t>
      </w:r>
    </w:p>
    <w:p w14:paraId="64C49D7F" w14:textId="5FA993A1" w:rsidR="007C71CF" w:rsidRPr="009D25C7" w:rsidRDefault="007C71CF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PhD</w:t>
      </w:r>
      <w:r w:rsidR="0067761D">
        <w:rPr>
          <w:szCs w:val="24"/>
        </w:rPr>
        <w:t xml:space="preserve">, </w:t>
      </w:r>
      <w:r w:rsidRPr="009D25C7">
        <w:rPr>
          <w:szCs w:val="24"/>
        </w:rPr>
        <w:t xml:space="preserve">Criminology &amp; Criminal Justice, University of Maryland, College Park, MD, </w:t>
      </w:r>
      <w:r w:rsidR="002134BC">
        <w:rPr>
          <w:szCs w:val="24"/>
        </w:rPr>
        <w:t>202</w:t>
      </w:r>
      <w:r w:rsidR="0067761D">
        <w:rPr>
          <w:szCs w:val="24"/>
        </w:rPr>
        <w:t>2</w:t>
      </w:r>
      <w:r w:rsidRPr="009D25C7">
        <w:rPr>
          <w:szCs w:val="24"/>
        </w:rPr>
        <w:t>.</w:t>
      </w:r>
    </w:p>
    <w:p w14:paraId="65DAEF52" w14:textId="75EB1E39" w:rsidR="007C71CF" w:rsidRPr="009D25C7" w:rsidRDefault="007C71CF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MA, Criminology &amp; Criminal Justice, University of Maryland, College Park, MD, 2015.</w:t>
      </w:r>
    </w:p>
    <w:p w14:paraId="1B1C02FE" w14:textId="21F94356" w:rsidR="007C71CF" w:rsidRPr="009D25C7" w:rsidRDefault="007C71CF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BA, Psychology, Saint Louis University, Saint Louis, MO, 2012.</w:t>
      </w:r>
    </w:p>
    <w:p w14:paraId="128DC3D5" w14:textId="77777777" w:rsidR="008A4019" w:rsidRPr="009D25C7" w:rsidRDefault="008A4019" w:rsidP="008A4019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Peer-Reviewed Journal Articles</w:t>
      </w:r>
    </w:p>
    <w:p w14:paraId="639E74BB" w14:textId="77777777" w:rsidR="008A4019" w:rsidRPr="008A4019" w:rsidRDefault="008A4019" w:rsidP="008A4019">
      <w:pPr>
        <w:pStyle w:val="biblio-entry"/>
        <w:autoSpaceDE w:val="0"/>
        <w:autoSpaceDN w:val="0"/>
        <w:adjustRightInd w:val="0"/>
        <w:rPr>
          <w:color w:val="222222"/>
          <w:shd w:val="clear" w:color="auto" w:fill="FFFFFF"/>
        </w:rPr>
      </w:pPr>
      <w:bookmarkStart w:id="0" w:name="_Hlk3818743"/>
      <w:r w:rsidRPr="008A4019">
        <w:rPr>
          <w:color w:val="222222"/>
          <w:shd w:val="clear" w:color="auto" w:fill="FFFFFF"/>
        </w:rPr>
        <w:t>Scott, T. L., Strom, K. J., &amp; Planty, M. (2022). Using National Incident-</w:t>
      </w:r>
      <w:r>
        <w:rPr>
          <w:color w:val="222222"/>
          <w:shd w:val="clear" w:color="auto" w:fill="FFFFFF"/>
        </w:rPr>
        <w:t>b</w:t>
      </w:r>
      <w:r w:rsidRPr="008A4019">
        <w:rPr>
          <w:color w:val="222222"/>
          <w:shd w:val="clear" w:color="auto" w:fill="FFFFFF"/>
        </w:rPr>
        <w:t xml:space="preserve">ased Reporting System data to assess agency differences in clearance rates: </w:t>
      </w:r>
      <w:r>
        <w:rPr>
          <w:color w:val="222222"/>
          <w:shd w:val="clear" w:color="auto" w:fill="FFFFFF"/>
        </w:rPr>
        <w:t>A</w:t>
      </w:r>
      <w:r w:rsidRPr="008A4019">
        <w:rPr>
          <w:color w:val="222222"/>
          <w:shd w:val="clear" w:color="auto" w:fill="FFFFFF"/>
        </w:rPr>
        <w:t xml:space="preserve"> recommendation for law enforcement. </w:t>
      </w:r>
      <w:r w:rsidRPr="008A4019">
        <w:rPr>
          <w:i/>
          <w:iCs/>
          <w:color w:val="222222"/>
          <w:shd w:val="clear" w:color="auto" w:fill="FFFFFF"/>
        </w:rPr>
        <w:t>Police Practice and Research</w:t>
      </w:r>
      <w:r w:rsidRPr="008A4019">
        <w:rPr>
          <w:color w:val="222222"/>
          <w:shd w:val="clear" w:color="auto" w:fill="FFFFFF"/>
        </w:rPr>
        <w:t>, 1-14.</w:t>
      </w:r>
    </w:p>
    <w:p w14:paraId="50F1062B" w14:textId="77777777" w:rsidR="008A4019" w:rsidRPr="008A4019" w:rsidRDefault="008A4019" w:rsidP="008A4019">
      <w:pPr>
        <w:pStyle w:val="biblio-entry"/>
        <w:autoSpaceDE w:val="0"/>
        <w:autoSpaceDN w:val="0"/>
        <w:adjustRightInd w:val="0"/>
        <w:rPr>
          <w:rStyle w:val="bibsurname"/>
          <w:rFonts w:eastAsia="Times New Roman"/>
          <w:shd w:val="clear" w:color="auto" w:fill="auto"/>
        </w:rPr>
      </w:pPr>
      <w:r w:rsidRPr="008A4019">
        <w:rPr>
          <w:color w:val="222222"/>
          <w:shd w:val="clear" w:color="auto" w:fill="FFFFFF"/>
        </w:rPr>
        <w:t xml:space="preserve">Rash, J., Scott, T., Clements, P., &amp; Strom, K. (2022). Stealing tires or copper wires? How the </w:t>
      </w:r>
      <w:r>
        <w:rPr>
          <w:color w:val="222222"/>
          <w:shd w:val="clear" w:color="auto" w:fill="FFFFFF"/>
        </w:rPr>
        <w:t>N</w:t>
      </w:r>
      <w:r w:rsidRPr="008A4019">
        <w:rPr>
          <w:color w:val="222222"/>
          <w:shd w:val="clear" w:color="auto" w:fill="FFFFFF"/>
        </w:rPr>
        <w:t xml:space="preserve">ational </w:t>
      </w:r>
      <w:r>
        <w:rPr>
          <w:color w:val="222222"/>
          <w:shd w:val="clear" w:color="auto" w:fill="FFFFFF"/>
        </w:rPr>
        <w:t>I</w:t>
      </w:r>
      <w:r w:rsidRPr="008A4019">
        <w:rPr>
          <w:color w:val="222222"/>
          <w:shd w:val="clear" w:color="auto" w:fill="FFFFFF"/>
        </w:rPr>
        <w:t xml:space="preserve">ncident-based </w:t>
      </w:r>
      <w:r>
        <w:rPr>
          <w:color w:val="222222"/>
          <w:shd w:val="clear" w:color="auto" w:fill="FFFFFF"/>
        </w:rPr>
        <w:t>R</w:t>
      </w:r>
      <w:r w:rsidRPr="008A4019">
        <w:rPr>
          <w:color w:val="222222"/>
          <w:shd w:val="clear" w:color="auto" w:fill="FFFFFF"/>
        </w:rPr>
        <w:t xml:space="preserve">eporting </w:t>
      </w:r>
      <w:r>
        <w:rPr>
          <w:color w:val="222222"/>
          <w:shd w:val="clear" w:color="auto" w:fill="FFFFFF"/>
        </w:rPr>
        <w:t>S</w:t>
      </w:r>
      <w:r w:rsidRPr="008A4019">
        <w:rPr>
          <w:color w:val="222222"/>
          <w:shd w:val="clear" w:color="auto" w:fill="FFFFFF"/>
        </w:rPr>
        <w:t>ystem changed how the Arlington, Texas, Police Department addresses larceny-thefts. </w:t>
      </w:r>
      <w:r w:rsidRPr="008A4019">
        <w:rPr>
          <w:i/>
          <w:iCs/>
          <w:color w:val="222222"/>
          <w:shd w:val="clear" w:color="auto" w:fill="FFFFFF"/>
        </w:rPr>
        <w:t>International Journal of Comparative and Applied Criminal Justice</w:t>
      </w:r>
      <w:r w:rsidRPr="008A4019">
        <w:rPr>
          <w:color w:val="222222"/>
          <w:shd w:val="clear" w:color="auto" w:fill="FFFFFF"/>
        </w:rPr>
        <w:t>, 1-13.</w:t>
      </w:r>
    </w:p>
    <w:p w14:paraId="49869076" w14:textId="77777777" w:rsidR="008A4019" w:rsidRPr="008A4019" w:rsidRDefault="008A4019" w:rsidP="008A4019">
      <w:pPr>
        <w:pStyle w:val="biblio-entry"/>
        <w:autoSpaceDE w:val="0"/>
        <w:autoSpaceDN w:val="0"/>
        <w:adjustRightInd w:val="0"/>
        <w:rPr>
          <w:rStyle w:val="bibsurname"/>
          <w:rFonts w:eastAsia="Times New Roman"/>
          <w:i/>
          <w:iCs/>
          <w:szCs w:val="24"/>
          <w:shd w:val="clear" w:color="auto" w:fill="auto"/>
        </w:rPr>
      </w:pPr>
      <w:r w:rsidRPr="008A4019">
        <w:rPr>
          <w:rStyle w:val="bibsurname"/>
          <w:rFonts w:eastAsia="Times New Roman"/>
          <w:shd w:val="clear" w:color="auto" w:fill="auto"/>
        </w:rPr>
        <w:t xml:space="preserve">Scott, T., &amp; Wellford, C. (2021). Improving the clearance of serious crime: The case of aggravated assault. </w:t>
      </w:r>
      <w:r w:rsidRPr="008A4019">
        <w:rPr>
          <w:rStyle w:val="bibsurname"/>
          <w:rFonts w:eastAsia="Times New Roman"/>
          <w:i/>
          <w:iCs/>
          <w:shd w:val="clear" w:color="auto" w:fill="auto"/>
        </w:rPr>
        <w:t>Policing: An International Journal, 44</w:t>
      </w:r>
      <w:r w:rsidRPr="008A4019">
        <w:rPr>
          <w:rStyle w:val="bibsurname"/>
          <w:rFonts w:eastAsia="Times New Roman"/>
          <w:shd w:val="clear" w:color="auto" w:fill="auto"/>
        </w:rPr>
        <w:t xml:space="preserve">(4), 560-576. </w:t>
      </w:r>
      <w:hyperlink r:id="rId7" w:tooltip="DOI: https://doi.org/10.1108/PIJPSM-02-2021-0025" w:history="1">
        <w:r w:rsidRPr="008A4019">
          <w:rPr>
            <w:rStyle w:val="Hyperlink"/>
            <w:color w:val="0070C0"/>
            <w:shd w:val="clear" w:color="auto" w:fill="FFFFFF"/>
          </w:rPr>
          <w:t>https://doi.org/10.1108/PIJPSM-02-2021-0025</w:t>
        </w:r>
      </w:hyperlink>
      <w:r w:rsidRPr="008A4019" w:rsidDel="00BB4043">
        <w:rPr>
          <w:rStyle w:val="bibsurname"/>
          <w:rFonts w:eastAsia="Times New Roman"/>
          <w:i/>
          <w:iCs/>
          <w:color w:val="0070C0"/>
          <w:szCs w:val="24"/>
          <w:shd w:val="clear" w:color="auto" w:fill="auto"/>
        </w:rPr>
        <w:t xml:space="preserve"> </w:t>
      </w:r>
    </w:p>
    <w:p w14:paraId="4A60EDD6" w14:textId="77777777" w:rsidR="008A4019" w:rsidRPr="00375543" w:rsidRDefault="008A4019" w:rsidP="008A4019">
      <w:pPr>
        <w:pStyle w:val="biblio-entry"/>
        <w:autoSpaceDE w:val="0"/>
        <w:autoSpaceDN w:val="0"/>
        <w:adjustRightInd w:val="0"/>
        <w:rPr>
          <w:rStyle w:val="bibsurname"/>
          <w:rFonts w:eastAsia="Times New Roman"/>
          <w:i/>
          <w:iCs/>
          <w:szCs w:val="24"/>
          <w:shd w:val="clear" w:color="auto" w:fill="auto"/>
        </w:rPr>
      </w:pPr>
      <w:r w:rsidRPr="00375543">
        <w:rPr>
          <w:rStyle w:val="bibsurname"/>
          <w:rFonts w:eastAsia="Times New Roman"/>
          <w:szCs w:val="24"/>
          <w:shd w:val="clear" w:color="auto" w:fill="auto"/>
        </w:rPr>
        <w:t>Markey, J.</w:t>
      </w:r>
      <w:r w:rsidRPr="00375543">
        <w:rPr>
          <w:rStyle w:val="bibsurname"/>
          <w:rFonts w:eastAsia="Times New Roman"/>
          <w:i/>
          <w:iCs/>
          <w:szCs w:val="24"/>
          <w:shd w:val="clear" w:color="auto" w:fill="auto"/>
        </w:rPr>
        <w:t xml:space="preserve">, </w:t>
      </w:r>
      <w:r w:rsidRPr="00375543">
        <w:rPr>
          <w:rStyle w:val="bibsurname"/>
          <w:rFonts w:eastAsia="Times New Roman"/>
          <w:szCs w:val="24"/>
          <w:shd w:val="clear" w:color="auto" w:fill="auto"/>
        </w:rPr>
        <w:t xml:space="preserve">Scott, T., Daye, C., &amp; Strom, K. (2021). Sexual assault investigations and the factors that contribute to a suspect’s arrest. </w:t>
      </w:r>
      <w:r w:rsidRPr="00375543">
        <w:rPr>
          <w:rStyle w:val="bibsurname"/>
          <w:rFonts w:eastAsia="Times New Roman"/>
          <w:i/>
          <w:iCs/>
          <w:szCs w:val="24"/>
          <w:shd w:val="clear" w:color="auto" w:fill="auto"/>
        </w:rPr>
        <w:t>Policing: An International Journal, 44</w:t>
      </w:r>
      <w:r w:rsidRPr="00375543">
        <w:rPr>
          <w:rStyle w:val="bibsurname"/>
          <w:rFonts w:eastAsia="Times New Roman"/>
          <w:szCs w:val="24"/>
          <w:shd w:val="clear" w:color="auto" w:fill="auto"/>
        </w:rPr>
        <w:t>(4), 591-611.</w:t>
      </w:r>
      <w:r w:rsidRPr="00375543">
        <w:rPr>
          <w:rStyle w:val="bibsurname"/>
          <w:rFonts w:eastAsia="Times New Roman"/>
          <w:i/>
          <w:iCs/>
          <w:szCs w:val="24"/>
          <w:shd w:val="clear" w:color="auto" w:fill="auto"/>
        </w:rPr>
        <w:t xml:space="preserve"> </w:t>
      </w:r>
      <w:hyperlink r:id="rId8" w:tooltip="DOI: https://doi.org/10.1108/PIJPSM-03-2021-0051" w:history="1">
        <w:r w:rsidRPr="008A4019">
          <w:rPr>
            <w:rStyle w:val="Hyperlink"/>
            <w:color w:val="0070C0"/>
            <w:shd w:val="clear" w:color="auto" w:fill="FFFFFF"/>
          </w:rPr>
          <w:t>https://doi.org/10.1108/PIJPSM-03-2021-0051</w:t>
        </w:r>
      </w:hyperlink>
    </w:p>
    <w:p w14:paraId="039104F6" w14:textId="77777777" w:rsidR="008A4019" w:rsidRDefault="008A4019" w:rsidP="008A4019">
      <w:pPr>
        <w:pStyle w:val="biblio-entry"/>
        <w:autoSpaceDE w:val="0"/>
        <w:autoSpaceDN w:val="0"/>
        <w:adjustRightInd w:val="0"/>
        <w:rPr>
          <w:rStyle w:val="Hyperlink"/>
          <w:rFonts w:eastAsia="Times New Roman"/>
          <w:szCs w:val="24"/>
        </w:rPr>
      </w:pPr>
      <w:r w:rsidRPr="00375543">
        <w:rPr>
          <w:rStyle w:val="bibsurname"/>
          <w:rFonts w:eastAsia="Times New Roman"/>
          <w:szCs w:val="24"/>
          <w:shd w:val="clear" w:color="auto" w:fill="auto"/>
        </w:rPr>
        <w:t>Strom, K., Scott, T., Feeney, H., Young, A., Couzens, L., &amp; Berzofsky, M. (2021). How much justice is denied? An estimate of unsubmitted sexual assault kits in the United States.</w:t>
      </w:r>
      <w:r w:rsidRPr="00375543">
        <w:rPr>
          <w:rStyle w:val="bibsurname"/>
          <w:rFonts w:eastAsia="Times New Roman"/>
          <w:i/>
          <w:iCs/>
          <w:szCs w:val="24"/>
          <w:shd w:val="clear" w:color="auto" w:fill="auto"/>
        </w:rPr>
        <w:t xml:space="preserve"> Journal of Criminal Justice, 73</w:t>
      </w:r>
      <w:r w:rsidRPr="00375543">
        <w:rPr>
          <w:rStyle w:val="bibsurname"/>
          <w:rFonts w:eastAsia="Times New Roman"/>
          <w:szCs w:val="24"/>
          <w:shd w:val="clear" w:color="auto" w:fill="auto"/>
        </w:rPr>
        <w:t xml:space="preserve">, 101746. </w:t>
      </w:r>
      <w:hyperlink r:id="rId9" w:history="1">
        <w:r w:rsidRPr="00375543">
          <w:rPr>
            <w:rStyle w:val="Hyperlink"/>
            <w:rFonts w:eastAsia="Times New Roman"/>
            <w:szCs w:val="24"/>
          </w:rPr>
          <w:t>https://doi.org/10.1016/j.jcrimjus.2020.101746</w:t>
        </w:r>
      </w:hyperlink>
    </w:p>
    <w:p w14:paraId="6D77F927" w14:textId="77777777" w:rsidR="008A4019" w:rsidRPr="00375543" w:rsidRDefault="008A4019" w:rsidP="008A4019">
      <w:pPr>
        <w:pStyle w:val="biblio-entry"/>
        <w:autoSpaceDE w:val="0"/>
        <w:autoSpaceDN w:val="0"/>
        <w:adjustRightInd w:val="0"/>
        <w:rPr>
          <w:rStyle w:val="bibsurname"/>
          <w:rFonts w:eastAsia="Times New Roman"/>
          <w:szCs w:val="24"/>
          <w:shd w:val="clear" w:color="auto" w:fill="auto"/>
        </w:rPr>
      </w:pPr>
      <w:r>
        <w:rPr>
          <w:rFonts w:eastAsia="Times New Roman"/>
          <w:szCs w:val="24"/>
        </w:rPr>
        <w:t>Scott, T. L. (2021). Phy</w:t>
      </w:r>
      <w:r w:rsidRPr="009D7C2D">
        <w:rPr>
          <w:rFonts w:eastAsia="Times New Roman"/>
        </w:rPr>
        <w:t xml:space="preserve">sical security and correctional disorder: A quantitative test. </w:t>
      </w:r>
      <w:r w:rsidRPr="009D7C2D">
        <w:rPr>
          <w:rFonts w:eastAsia="Times New Roman"/>
          <w:i/>
        </w:rPr>
        <w:t>Corrections</w:t>
      </w:r>
      <w:r>
        <w:rPr>
          <w:rFonts w:eastAsia="Times New Roman"/>
          <w:iCs/>
        </w:rPr>
        <w:t xml:space="preserve">, </w:t>
      </w:r>
      <w:r w:rsidRPr="008A4019">
        <w:rPr>
          <w:i/>
        </w:rPr>
        <w:t>6</w:t>
      </w:r>
      <w:r>
        <w:rPr>
          <w:rFonts w:eastAsia="Times New Roman"/>
          <w:iCs/>
        </w:rPr>
        <w:t>(2), 150-170.</w:t>
      </w:r>
      <w:r w:rsidRPr="009D7C2D">
        <w:rPr>
          <w:rFonts w:eastAsia="Times New Roman"/>
          <w:i/>
        </w:rPr>
        <w:t xml:space="preserve"> </w:t>
      </w:r>
      <w:hyperlink r:id="rId10" w:history="1">
        <w:r w:rsidRPr="00CA30A9">
          <w:rPr>
            <w:rStyle w:val="Hyperlink"/>
          </w:rPr>
          <w:t>https://doi.org/10.1080/23774657.2019.1602488</w:t>
        </w:r>
      </w:hyperlink>
    </w:p>
    <w:p w14:paraId="2E9E3851" w14:textId="77777777" w:rsidR="008A4019" w:rsidRDefault="008A4019" w:rsidP="008A4019">
      <w:pPr>
        <w:pStyle w:val="biblio-entry"/>
        <w:autoSpaceDE w:val="0"/>
        <w:autoSpaceDN w:val="0"/>
        <w:adjustRightInd w:val="0"/>
        <w:rPr>
          <w:rStyle w:val="Hyperlink"/>
          <w:shd w:val="clear" w:color="auto" w:fill="FFFFFF"/>
        </w:rPr>
      </w:pPr>
      <w:r w:rsidRPr="009D25C7">
        <w:rPr>
          <w:rStyle w:val="bibsurname"/>
          <w:rFonts w:eastAsia="Times New Roman"/>
          <w:szCs w:val="24"/>
          <w:shd w:val="clear" w:color="auto" w:fill="auto"/>
        </w:rPr>
        <w:t>Wellford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C.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Lum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C.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Scott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T. L.</w:t>
      </w:r>
      <w:r w:rsidRPr="009D25C7">
        <w:rPr>
          <w:rFonts w:eastAsia="Times New Roman"/>
          <w:szCs w:val="24"/>
        </w:rPr>
        <w:t xml:space="preserve">, </w:t>
      </w:r>
      <w:proofErr w:type="spellStart"/>
      <w:r w:rsidRPr="006F52C4">
        <w:rPr>
          <w:rStyle w:val="bibsurname"/>
          <w:rFonts w:eastAsia="Times New Roman"/>
          <w:shd w:val="clear" w:color="auto" w:fill="auto"/>
        </w:rPr>
        <w:t>Vovak</w:t>
      </w:r>
      <w:proofErr w:type="spellEnd"/>
      <w:r w:rsidRPr="006F52C4">
        <w:rPr>
          <w:rFonts w:eastAsia="Times New Roman"/>
        </w:rPr>
        <w:t xml:space="preserve">, </w:t>
      </w:r>
      <w:r w:rsidRPr="006F52C4">
        <w:rPr>
          <w:rStyle w:val="bibfname"/>
          <w:rFonts w:eastAsia="Times New Roman"/>
          <w:shd w:val="clear" w:color="auto" w:fill="auto"/>
        </w:rPr>
        <w:t>H.</w:t>
      </w:r>
      <w:r w:rsidRPr="006F52C4">
        <w:rPr>
          <w:rFonts w:eastAsia="Times New Roman"/>
        </w:rPr>
        <w:t xml:space="preserve">, &amp; </w:t>
      </w:r>
      <w:r w:rsidRPr="006F52C4">
        <w:rPr>
          <w:rStyle w:val="bibsurname"/>
          <w:rFonts w:eastAsia="Times New Roman"/>
          <w:shd w:val="clear" w:color="auto" w:fill="auto"/>
        </w:rPr>
        <w:t>Scherer</w:t>
      </w:r>
      <w:r w:rsidRPr="006F52C4">
        <w:rPr>
          <w:rFonts w:eastAsia="Times New Roman"/>
        </w:rPr>
        <w:t xml:space="preserve">, </w:t>
      </w:r>
      <w:r w:rsidRPr="006F52C4">
        <w:rPr>
          <w:rStyle w:val="bibfname"/>
          <w:rFonts w:eastAsia="Times New Roman"/>
          <w:shd w:val="clear" w:color="auto" w:fill="auto"/>
        </w:rPr>
        <w:t>A.</w:t>
      </w:r>
      <w:r w:rsidRPr="006F52C4">
        <w:rPr>
          <w:rFonts w:eastAsia="Times New Roman"/>
        </w:rPr>
        <w:t xml:space="preserve"> (</w:t>
      </w:r>
      <w:r w:rsidRPr="006F52C4">
        <w:rPr>
          <w:rStyle w:val="bibyear"/>
          <w:rFonts w:eastAsia="Times New Roman"/>
          <w:shd w:val="clear" w:color="auto" w:fill="auto"/>
        </w:rPr>
        <w:t>2019</w:t>
      </w:r>
      <w:r w:rsidRPr="006F52C4">
        <w:rPr>
          <w:rFonts w:eastAsia="Times New Roman"/>
        </w:rPr>
        <w:t xml:space="preserve">). </w:t>
      </w:r>
      <w:r w:rsidRPr="006F52C4">
        <w:rPr>
          <w:rStyle w:val="bibarticle"/>
          <w:rFonts w:eastAsia="Times New Roman"/>
          <w:shd w:val="clear" w:color="auto" w:fill="auto"/>
        </w:rPr>
        <w:t>Clearing homicides: The role of organizational, case, and investigative dimensions.</w:t>
      </w:r>
      <w:r w:rsidRPr="006F52C4">
        <w:rPr>
          <w:rFonts w:eastAsia="Times New Roman"/>
        </w:rPr>
        <w:t xml:space="preserve"> </w:t>
      </w:r>
      <w:r w:rsidRPr="006F52C4">
        <w:rPr>
          <w:rStyle w:val="bibjournal"/>
          <w:rFonts w:eastAsia="Times New Roman"/>
          <w:i/>
          <w:shd w:val="clear" w:color="auto" w:fill="auto"/>
        </w:rPr>
        <w:t>Criminology &amp; Public Policy, 18</w:t>
      </w:r>
      <w:r>
        <w:rPr>
          <w:rStyle w:val="bibjournal"/>
          <w:rFonts w:eastAsia="Times New Roman"/>
          <w:i/>
          <w:shd w:val="clear" w:color="auto" w:fill="auto"/>
        </w:rPr>
        <w:t>,</w:t>
      </w:r>
      <w:r w:rsidRPr="006F52C4">
        <w:rPr>
          <w:rStyle w:val="bibjournal"/>
          <w:rFonts w:eastAsia="Times New Roman"/>
          <w:iCs/>
          <w:shd w:val="clear" w:color="auto" w:fill="auto"/>
        </w:rPr>
        <w:t xml:space="preserve"> 553</w:t>
      </w:r>
      <w:r>
        <w:rPr>
          <w:rStyle w:val="bibjournal"/>
          <w:rFonts w:eastAsia="Times New Roman"/>
          <w:iCs/>
          <w:shd w:val="clear" w:color="auto" w:fill="auto"/>
        </w:rPr>
        <w:t>–</w:t>
      </w:r>
      <w:r w:rsidRPr="006F52C4">
        <w:rPr>
          <w:rStyle w:val="bibjournal"/>
          <w:rFonts w:eastAsia="Times New Roman"/>
          <w:iCs/>
          <w:shd w:val="clear" w:color="auto" w:fill="auto"/>
        </w:rPr>
        <w:t>600</w:t>
      </w:r>
      <w:r w:rsidRPr="006F52C4">
        <w:rPr>
          <w:rFonts w:eastAsia="Times New Roman"/>
        </w:rPr>
        <w:t>.</w:t>
      </w:r>
      <w:r w:rsidRPr="006F52C4">
        <w:t xml:space="preserve"> </w:t>
      </w:r>
      <w:hyperlink r:id="rId11" w:history="1">
        <w:r w:rsidRPr="00CA30A9">
          <w:rPr>
            <w:rStyle w:val="Hyperlink"/>
            <w:shd w:val="clear" w:color="auto" w:fill="FFFFFF"/>
          </w:rPr>
          <w:t>https://doi.org/10.1111/1745-9133.12449</w:t>
        </w:r>
      </w:hyperlink>
    </w:p>
    <w:p w14:paraId="06E34BAE" w14:textId="77777777" w:rsidR="008A4019" w:rsidRPr="000F7011" w:rsidRDefault="008A4019" w:rsidP="008A4019">
      <w:pPr>
        <w:pStyle w:val="biblio-entry"/>
        <w:rPr>
          <w:szCs w:val="24"/>
        </w:rPr>
      </w:pPr>
      <w:r w:rsidRPr="002F4787">
        <w:rPr>
          <w:szCs w:val="24"/>
        </w:rPr>
        <w:t xml:space="preserve">Scott, T. L., Wellford, C., Lum, C., &amp; </w:t>
      </w:r>
      <w:proofErr w:type="spellStart"/>
      <w:r w:rsidRPr="002F4787">
        <w:rPr>
          <w:szCs w:val="24"/>
        </w:rPr>
        <w:t>Vovak</w:t>
      </w:r>
      <w:proofErr w:type="spellEnd"/>
      <w:r w:rsidRPr="002F4787">
        <w:rPr>
          <w:szCs w:val="24"/>
        </w:rPr>
        <w:t xml:space="preserve">, H. (2019). </w:t>
      </w:r>
      <w:r>
        <w:rPr>
          <w:szCs w:val="24"/>
        </w:rPr>
        <w:t>Variability of crime clearance among police agencies</w:t>
      </w:r>
      <w:r w:rsidRPr="002F4787">
        <w:rPr>
          <w:szCs w:val="24"/>
        </w:rPr>
        <w:t xml:space="preserve">. </w:t>
      </w:r>
      <w:r w:rsidRPr="002F4787">
        <w:rPr>
          <w:i/>
          <w:szCs w:val="24"/>
        </w:rPr>
        <w:t>Police Quarterly, 22</w:t>
      </w:r>
      <w:r w:rsidRPr="002F4787">
        <w:rPr>
          <w:szCs w:val="24"/>
        </w:rPr>
        <w:t>(1), 82</w:t>
      </w:r>
      <w:r>
        <w:rPr>
          <w:szCs w:val="24"/>
        </w:rPr>
        <w:t>–</w:t>
      </w:r>
      <w:r w:rsidRPr="002F4787">
        <w:rPr>
          <w:szCs w:val="24"/>
        </w:rPr>
        <w:t xml:space="preserve">111. </w:t>
      </w:r>
      <w:hyperlink r:id="rId12" w:history="1">
        <w:r w:rsidRPr="002F4787">
          <w:rPr>
            <w:rStyle w:val="Hyperlink"/>
            <w:szCs w:val="24"/>
          </w:rPr>
          <w:t>https://doi.org/10.1177/1098611118796597</w:t>
        </w:r>
      </w:hyperlink>
    </w:p>
    <w:p w14:paraId="58DAF3ED" w14:textId="77777777" w:rsidR="008A4019" w:rsidRPr="009D25C7" w:rsidRDefault="008A4019" w:rsidP="008A4019">
      <w:pPr>
        <w:pStyle w:val="biblio-entry"/>
        <w:autoSpaceDE w:val="0"/>
        <w:autoSpaceDN w:val="0"/>
        <w:adjustRightInd w:val="0"/>
        <w:rPr>
          <w:rFonts w:eastAsia="Times New Roman"/>
          <w:szCs w:val="24"/>
        </w:rPr>
      </w:pPr>
      <w:r w:rsidRPr="009D25C7">
        <w:rPr>
          <w:rStyle w:val="bibsurname"/>
          <w:rFonts w:eastAsia="Times New Roman"/>
          <w:szCs w:val="24"/>
          <w:shd w:val="clear" w:color="auto" w:fill="auto"/>
        </w:rPr>
        <w:t>Collins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M. E.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Parker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S. P.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Scott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T. L.</w:t>
      </w:r>
      <w:r w:rsidRPr="009D25C7">
        <w:rPr>
          <w:rFonts w:eastAsia="Times New Roman"/>
          <w:szCs w:val="24"/>
        </w:rPr>
        <w:t xml:space="preserve">, &amp;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Wellford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C. F.</w:t>
      </w:r>
      <w:r w:rsidRPr="009D25C7">
        <w:rPr>
          <w:rFonts w:eastAsia="Times New Roman"/>
          <w:szCs w:val="24"/>
        </w:rPr>
        <w:t xml:space="preserve"> (</w:t>
      </w:r>
      <w:r w:rsidRPr="009D25C7">
        <w:rPr>
          <w:rStyle w:val="bibyear"/>
          <w:rFonts w:eastAsia="Times New Roman"/>
          <w:szCs w:val="24"/>
          <w:shd w:val="clear" w:color="auto" w:fill="auto"/>
        </w:rPr>
        <w:t>2017</w:t>
      </w:r>
      <w:r w:rsidRPr="009D25C7">
        <w:rPr>
          <w:rFonts w:eastAsia="Times New Roman"/>
          <w:szCs w:val="24"/>
        </w:rPr>
        <w:t xml:space="preserve">). </w:t>
      </w:r>
      <w:r w:rsidRPr="009D25C7">
        <w:rPr>
          <w:rStyle w:val="bibarticle"/>
          <w:rFonts w:eastAsia="Times New Roman"/>
          <w:szCs w:val="24"/>
          <w:shd w:val="clear" w:color="auto" w:fill="auto"/>
        </w:rPr>
        <w:t>A comparative analysis of crime guns: Implications for reducing gun violence.</w:t>
      </w:r>
      <w:r w:rsidRPr="009D25C7">
        <w:rPr>
          <w:rFonts w:eastAsia="Times New Roman"/>
          <w:szCs w:val="24"/>
        </w:rPr>
        <w:t xml:space="preserve"> </w:t>
      </w:r>
      <w:r w:rsidRPr="009D25C7">
        <w:rPr>
          <w:rStyle w:val="bibjournal"/>
          <w:rFonts w:eastAsia="Times New Roman"/>
          <w:i/>
          <w:szCs w:val="24"/>
          <w:shd w:val="clear" w:color="auto" w:fill="auto"/>
        </w:rPr>
        <w:t>Russell Sage Foundation Journal of the Social Sciences</w:t>
      </w:r>
      <w:r>
        <w:rPr>
          <w:rStyle w:val="bibjournal"/>
          <w:rFonts w:eastAsia="Times New Roman"/>
          <w:i/>
          <w:szCs w:val="24"/>
          <w:shd w:val="clear" w:color="auto" w:fill="auto"/>
        </w:rPr>
        <w:t>, 3</w:t>
      </w:r>
      <w:r>
        <w:rPr>
          <w:rStyle w:val="bibjournal"/>
          <w:rFonts w:eastAsia="Times New Roman"/>
          <w:szCs w:val="24"/>
          <w:shd w:val="clear" w:color="auto" w:fill="auto"/>
        </w:rPr>
        <w:t>(5), 96–127</w:t>
      </w:r>
      <w:r w:rsidRPr="009D25C7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hyperlink r:id="rId13" w:history="1">
        <w:r w:rsidRPr="00481040">
          <w:rPr>
            <w:rStyle w:val="Hyperlink"/>
            <w:rFonts w:eastAsia="Times New Roman"/>
            <w:szCs w:val="24"/>
          </w:rPr>
          <w:t>https://doi.org/10.7758/rsf.2017.3.5.05</w:t>
        </w:r>
      </w:hyperlink>
    </w:p>
    <w:p w14:paraId="62CCC142" w14:textId="77777777" w:rsidR="008A4019" w:rsidRPr="009D25C7" w:rsidRDefault="008A4019" w:rsidP="008A4019">
      <w:pPr>
        <w:pStyle w:val="biblio-entry"/>
        <w:autoSpaceDE w:val="0"/>
        <w:autoSpaceDN w:val="0"/>
        <w:adjustRightInd w:val="0"/>
        <w:rPr>
          <w:rFonts w:eastAsia="Times New Roman"/>
          <w:szCs w:val="24"/>
        </w:rPr>
      </w:pPr>
      <w:r w:rsidRPr="009D25C7">
        <w:rPr>
          <w:rStyle w:val="bibsurname"/>
          <w:rFonts w:eastAsia="Times New Roman"/>
          <w:szCs w:val="24"/>
          <w:shd w:val="clear" w:color="auto" w:fill="auto"/>
        </w:rPr>
        <w:lastRenderedPageBreak/>
        <w:t>Weinstock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J.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Scott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T. L.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Burton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S.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Rash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C. J.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Moran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S.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surname"/>
          <w:rFonts w:eastAsia="Times New Roman"/>
          <w:szCs w:val="24"/>
          <w:shd w:val="clear" w:color="auto" w:fill="auto"/>
        </w:rPr>
        <w:t>Biller</w:t>
      </w:r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W.</w:t>
      </w:r>
      <w:r w:rsidRPr="009D25C7">
        <w:rPr>
          <w:rFonts w:eastAsia="Times New Roman"/>
          <w:szCs w:val="24"/>
        </w:rPr>
        <w:t xml:space="preserve">, &amp; </w:t>
      </w:r>
      <w:proofErr w:type="spellStart"/>
      <w:r w:rsidRPr="009D25C7">
        <w:rPr>
          <w:rStyle w:val="bibsurname"/>
          <w:rFonts w:eastAsia="Times New Roman"/>
          <w:szCs w:val="24"/>
          <w:shd w:val="clear" w:color="auto" w:fill="auto"/>
        </w:rPr>
        <w:t>Kruedelbach</w:t>
      </w:r>
      <w:proofErr w:type="spellEnd"/>
      <w:r w:rsidRPr="009D25C7">
        <w:rPr>
          <w:rFonts w:eastAsia="Times New Roman"/>
          <w:szCs w:val="24"/>
        </w:rPr>
        <w:t xml:space="preserve">, </w:t>
      </w:r>
      <w:r w:rsidRPr="009D25C7">
        <w:rPr>
          <w:rStyle w:val="bibfname"/>
          <w:rFonts w:eastAsia="Times New Roman"/>
          <w:szCs w:val="24"/>
          <w:shd w:val="clear" w:color="auto" w:fill="auto"/>
        </w:rPr>
        <w:t>N.</w:t>
      </w:r>
      <w:r w:rsidRPr="009D25C7">
        <w:rPr>
          <w:rFonts w:eastAsia="Times New Roman"/>
          <w:szCs w:val="24"/>
        </w:rPr>
        <w:t xml:space="preserve"> (</w:t>
      </w:r>
      <w:r w:rsidRPr="009D25C7">
        <w:rPr>
          <w:rStyle w:val="bibyear"/>
          <w:rFonts w:eastAsia="Times New Roman"/>
          <w:szCs w:val="24"/>
          <w:shd w:val="clear" w:color="auto" w:fill="auto"/>
        </w:rPr>
        <w:t>2014</w:t>
      </w:r>
      <w:r w:rsidRPr="009D25C7">
        <w:rPr>
          <w:rFonts w:eastAsia="Times New Roman"/>
          <w:szCs w:val="24"/>
        </w:rPr>
        <w:t xml:space="preserve">). </w:t>
      </w:r>
      <w:r w:rsidRPr="009D25C7">
        <w:rPr>
          <w:rStyle w:val="bibarticle"/>
          <w:rFonts w:eastAsia="Times New Roman"/>
          <w:szCs w:val="24"/>
          <w:shd w:val="clear" w:color="auto" w:fill="auto"/>
        </w:rPr>
        <w:t>Suicidal ideation in gamblers calling a helpline.</w:t>
      </w:r>
      <w:r w:rsidRPr="009D25C7">
        <w:rPr>
          <w:rFonts w:eastAsia="Times New Roman"/>
          <w:szCs w:val="24"/>
        </w:rPr>
        <w:t xml:space="preserve"> </w:t>
      </w:r>
      <w:r w:rsidRPr="009D25C7">
        <w:rPr>
          <w:rStyle w:val="bibjournal"/>
          <w:rFonts w:eastAsia="Times New Roman"/>
          <w:i/>
          <w:szCs w:val="24"/>
          <w:shd w:val="clear" w:color="auto" w:fill="auto"/>
        </w:rPr>
        <w:t>Addiction Research and Theory</w:t>
      </w:r>
      <w:r w:rsidRPr="00A35A7A">
        <w:rPr>
          <w:rFonts w:eastAsia="Times New Roman"/>
          <w:i/>
          <w:szCs w:val="24"/>
        </w:rPr>
        <w:t>,</w:t>
      </w:r>
      <w:r w:rsidRPr="009D25C7">
        <w:rPr>
          <w:rFonts w:eastAsia="Times New Roman"/>
          <w:szCs w:val="24"/>
        </w:rPr>
        <w:t xml:space="preserve"> </w:t>
      </w:r>
      <w:r w:rsidRPr="009D25C7">
        <w:rPr>
          <w:rStyle w:val="bibvolume"/>
          <w:rFonts w:eastAsia="Times New Roman"/>
          <w:i/>
          <w:szCs w:val="24"/>
          <w:shd w:val="clear" w:color="auto" w:fill="auto"/>
        </w:rPr>
        <w:t>22</w:t>
      </w:r>
      <w:r>
        <w:rPr>
          <w:rStyle w:val="bibvolume"/>
          <w:rFonts w:eastAsia="Times New Roman"/>
          <w:i/>
          <w:szCs w:val="24"/>
          <w:shd w:val="clear" w:color="auto" w:fill="auto"/>
        </w:rPr>
        <w:t>,</w:t>
      </w:r>
      <w:r w:rsidRPr="009D25C7">
        <w:rPr>
          <w:rFonts w:eastAsia="Times New Roman"/>
          <w:szCs w:val="24"/>
        </w:rPr>
        <w:t xml:space="preserve"> </w:t>
      </w:r>
      <w:r w:rsidRPr="009D25C7">
        <w:rPr>
          <w:rStyle w:val="bibfpage"/>
          <w:rFonts w:eastAsia="Times New Roman"/>
          <w:szCs w:val="24"/>
          <w:shd w:val="clear" w:color="auto" w:fill="auto"/>
        </w:rPr>
        <w:t>398</w:t>
      </w:r>
      <w:r w:rsidRPr="009D25C7">
        <w:rPr>
          <w:rFonts w:eastAsia="Times New Roman"/>
          <w:szCs w:val="24"/>
        </w:rPr>
        <w:t>–</w:t>
      </w:r>
      <w:r w:rsidRPr="009D25C7">
        <w:rPr>
          <w:rStyle w:val="biblpage"/>
          <w:rFonts w:eastAsia="Times New Roman"/>
          <w:szCs w:val="24"/>
          <w:shd w:val="clear" w:color="auto" w:fill="auto"/>
        </w:rPr>
        <w:t>406</w:t>
      </w:r>
      <w:r w:rsidRPr="009D25C7">
        <w:rPr>
          <w:rFonts w:eastAsia="Times New Roman"/>
          <w:szCs w:val="24"/>
        </w:rPr>
        <w:t>.</w:t>
      </w:r>
      <w:hyperlink r:id="rId14" w:history="1">
        <w:r w:rsidRPr="00940462">
          <w:rPr>
            <w:rStyle w:val="Hyperlink"/>
          </w:rPr>
          <w:t xml:space="preserve"> https://doi.org/10.3109/16066359.2013.868445</w:t>
        </w:r>
      </w:hyperlink>
    </w:p>
    <w:bookmarkEnd w:id="0"/>
    <w:p w14:paraId="641EEBF9" w14:textId="77777777" w:rsidR="008A4019" w:rsidRPr="009D25C7" w:rsidRDefault="008A4019" w:rsidP="008A4019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Other Publications</w:t>
      </w:r>
    </w:p>
    <w:p w14:paraId="114F97FC" w14:textId="77777777" w:rsidR="008A4019" w:rsidRDefault="008A4019" w:rsidP="008A4019">
      <w:pPr>
        <w:spacing w:after="120"/>
        <w:ind w:left="446" w:hanging="446"/>
        <w:rPr>
          <w:szCs w:val="22"/>
        </w:rPr>
      </w:pPr>
      <w:r>
        <w:rPr>
          <w:szCs w:val="22"/>
        </w:rPr>
        <w:t xml:space="preserve">Scott, T. L. (2022). </w:t>
      </w:r>
      <w:r>
        <w:rPr>
          <w:i/>
          <w:szCs w:val="24"/>
        </w:rPr>
        <w:t xml:space="preserve">The effect of firearm relinquishment laws on domestic gun violence </w:t>
      </w:r>
      <w:r>
        <w:rPr>
          <w:szCs w:val="24"/>
        </w:rPr>
        <w:t>(</w:t>
      </w:r>
      <w:r w:rsidRPr="009D25C7">
        <w:rPr>
          <w:szCs w:val="24"/>
        </w:rPr>
        <w:t xml:space="preserve">Unpublished </w:t>
      </w:r>
      <w:r>
        <w:rPr>
          <w:szCs w:val="24"/>
        </w:rPr>
        <w:t>dissertation).</w:t>
      </w:r>
      <w:r w:rsidRPr="009D25C7">
        <w:rPr>
          <w:szCs w:val="24"/>
        </w:rPr>
        <w:t xml:space="preserve"> University of Maryland, College Park, MD.</w:t>
      </w:r>
    </w:p>
    <w:p w14:paraId="358660EF" w14:textId="77777777" w:rsidR="008A4019" w:rsidRPr="00BB4043" w:rsidRDefault="008A4019" w:rsidP="008A4019">
      <w:pPr>
        <w:spacing w:after="120"/>
        <w:ind w:left="446" w:hanging="446"/>
        <w:rPr>
          <w:szCs w:val="22"/>
        </w:rPr>
      </w:pPr>
      <w:r>
        <w:rPr>
          <w:szCs w:val="22"/>
        </w:rPr>
        <w:t xml:space="preserve">Wellford, C., &amp; Scott, T. (2021). Guest editorial to the special issue: Advances in Police Investigations. </w:t>
      </w:r>
      <w:r>
        <w:rPr>
          <w:i/>
          <w:iCs/>
          <w:szCs w:val="22"/>
        </w:rPr>
        <w:t>Policing: An International Journal, 44</w:t>
      </w:r>
      <w:r>
        <w:rPr>
          <w:szCs w:val="22"/>
        </w:rPr>
        <w:t xml:space="preserve">(4), 541-547. </w:t>
      </w:r>
    </w:p>
    <w:p w14:paraId="7F41881D" w14:textId="77777777" w:rsidR="008A4019" w:rsidRPr="00D01E4D" w:rsidRDefault="008A4019" w:rsidP="008A4019">
      <w:pPr>
        <w:spacing w:after="120"/>
        <w:ind w:left="446" w:hanging="446"/>
        <w:rPr>
          <w:i/>
          <w:iCs/>
          <w:szCs w:val="22"/>
        </w:rPr>
      </w:pPr>
      <w:r>
        <w:rPr>
          <w:szCs w:val="22"/>
        </w:rPr>
        <w:t xml:space="preserve">Scott, T. (2021). A review of “Predict and Surveil: Data, Discretion, and the Future of Policing.” Sarah Brayne. Oxford University Press. 2021. </w:t>
      </w:r>
      <w:r>
        <w:rPr>
          <w:i/>
          <w:iCs/>
          <w:szCs w:val="22"/>
        </w:rPr>
        <w:t>Criminal Law and Criminal Justice Book Reviews.</w:t>
      </w:r>
    </w:p>
    <w:p w14:paraId="100FB1D4" w14:textId="77777777" w:rsidR="008A4019" w:rsidRDefault="008A4019" w:rsidP="008A4019">
      <w:pPr>
        <w:spacing w:after="120"/>
        <w:ind w:left="446" w:hanging="446"/>
        <w:rPr>
          <w:szCs w:val="22"/>
        </w:rPr>
      </w:pPr>
      <w:r w:rsidRPr="009D7C2D">
        <w:rPr>
          <w:szCs w:val="22"/>
        </w:rPr>
        <w:t>DeMichele, M</w:t>
      </w:r>
      <w:r>
        <w:rPr>
          <w:szCs w:val="22"/>
        </w:rPr>
        <w:t xml:space="preserve">. </w:t>
      </w:r>
      <w:r w:rsidRPr="009D7C2D">
        <w:rPr>
          <w:szCs w:val="22"/>
        </w:rPr>
        <w:t>T</w:t>
      </w:r>
      <w:r>
        <w:rPr>
          <w:szCs w:val="22"/>
        </w:rPr>
        <w:t>.</w:t>
      </w:r>
      <w:r w:rsidRPr="009D7C2D">
        <w:rPr>
          <w:szCs w:val="22"/>
        </w:rPr>
        <w:t>, Scaggs, S</w:t>
      </w:r>
      <w:r>
        <w:rPr>
          <w:szCs w:val="22"/>
        </w:rPr>
        <w:t>.</w:t>
      </w:r>
      <w:r w:rsidRPr="009D7C2D">
        <w:rPr>
          <w:szCs w:val="22"/>
        </w:rPr>
        <w:t>, Scott, T</w:t>
      </w:r>
      <w:r>
        <w:rPr>
          <w:szCs w:val="22"/>
        </w:rPr>
        <w:t xml:space="preserve">. </w:t>
      </w:r>
      <w:r w:rsidRPr="009D7C2D">
        <w:rPr>
          <w:szCs w:val="22"/>
        </w:rPr>
        <w:t>L</w:t>
      </w:r>
      <w:r>
        <w:rPr>
          <w:szCs w:val="22"/>
        </w:rPr>
        <w:t>.,</w:t>
      </w:r>
      <w:r w:rsidRPr="009D7C2D">
        <w:rPr>
          <w:szCs w:val="22"/>
        </w:rPr>
        <w:t xml:space="preserve"> &amp; Kennedy, E</w:t>
      </w:r>
      <w:r>
        <w:rPr>
          <w:szCs w:val="22"/>
        </w:rPr>
        <w:t xml:space="preserve">. </w:t>
      </w:r>
      <w:r w:rsidRPr="009D7C2D">
        <w:rPr>
          <w:szCs w:val="22"/>
        </w:rPr>
        <w:t>K</w:t>
      </w:r>
      <w:r>
        <w:rPr>
          <w:szCs w:val="22"/>
        </w:rPr>
        <w:t>.</w:t>
      </w:r>
      <w:r w:rsidRPr="009D7C2D">
        <w:rPr>
          <w:szCs w:val="22"/>
        </w:rPr>
        <w:t xml:space="preserve"> </w:t>
      </w:r>
      <w:r>
        <w:rPr>
          <w:szCs w:val="22"/>
        </w:rPr>
        <w:t>(</w:t>
      </w:r>
      <w:r w:rsidRPr="009D7C2D">
        <w:rPr>
          <w:szCs w:val="22"/>
        </w:rPr>
        <w:t>2019</w:t>
      </w:r>
      <w:r>
        <w:rPr>
          <w:szCs w:val="22"/>
        </w:rPr>
        <w:t xml:space="preserve">) </w:t>
      </w:r>
      <w:r w:rsidRPr="009D7C2D">
        <w:rPr>
          <w:szCs w:val="22"/>
        </w:rPr>
        <w:t>How concerning are parole revocations to correctional reform? Leveraging data collected by the Bureau of Justice Statistics to describe changes in parole</w:t>
      </w:r>
      <w:r>
        <w:rPr>
          <w:szCs w:val="22"/>
        </w:rPr>
        <w:t>.</w:t>
      </w:r>
      <w:r w:rsidRPr="009D7C2D">
        <w:rPr>
          <w:szCs w:val="22"/>
        </w:rPr>
        <w:t xml:space="preserve"> </w:t>
      </w:r>
      <w:r w:rsidRPr="009D7C2D">
        <w:rPr>
          <w:i/>
          <w:iCs/>
          <w:szCs w:val="22"/>
        </w:rPr>
        <w:t>Perspectives, 43</w:t>
      </w:r>
      <w:r>
        <w:rPr>
          <w:szCs w:val="22"/>
        </w:rPr>
        <w:t>(2)</w:t>
      </w:r>
      <w:r w:rsidRPr="009D7C2D">
        <w:rPr>
          <w:szCs w:val="22"/>
        </w:rPr>
        <w:t>,</w:t>
      </w:r>
      <w:r>
        <w:rPr>
          <w:szCs w:val="22"/>
        </w:rPr>
        <w:t xml:space="preserve"> </w:t>
      </w:r>
      <w:r w:rsidRPr="009D7C2D">
        <w:rPr>
          <w:szCs w:val="22"/>
        </w:rPr>
        <w:t>16</w:t>
      </w:r>
      <w:r>
        <w:rPr>
          <w:szCs w:val="22"/>
        </w:rPr>
        <w:t>–</w:t>
      </w:r>
      <w:r w:rsidRPr="009D7C2D">
        <w:rPr>
          <w:szCs w:val="22"/>
        </w:rPr>
        <w:t>29.</w:t>
      </w:r>
    </w:p>
    <w:p w14:paraId="4525DE11" w14:textId="77777777" w:rsidR="008A4019" w:rsidRPr="009D7C2D" w:rsidRDefault="008A4019" w:rsidP="008A4019">
      <w:pPr>
        <w:spacing w:after="120"/>
        <w:ind w:left="446" w:hanging="446"/>
        <w:rPr>
          <w:szCs w:val="22"/>
        </w:rPr>
      </w:pPr>
      <w:r>
        <w:t xml:space="preserve">Lum, C., Wellford, C., Scott, T., </w:t>
      </w:r>
      <w:proofErr w:type="spellStart"/>
      <w:r>
        <w:t>Vovak</w:t>
      </w:r>
      <w:proofErr w:type="spellEnd"/>
      <w:r>
        <w:t>, H., and Scherer, A. (2018). Identifying effective investigative practices: A National Study Using Trajectory Analysis, Case Studies, and Investigative Data. Final Report to the Laura and John Arnold Foundation. Fairfax, VA: George Mason University.</w:t>
      </w:r>
    </w:p>
    <w:p w14:paraId="58C51A06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 xml:space="preserve">Scott, T. L. (2015). </w:t>
      </w:r>
      <w:r w:rsidRPr="009D25C7">
        <w:rPr>
          <w:i/>
          <w:szCs w:val="24"/>
        </w:rPr>
        <w:t>A longitudinal, mixed-method study of the identity theory of desistance</w:t>
      </w:r>
      <w:r w:rsidRPr="009D25C7">
        <w:rPr>
          <w:szCs w:val="24"/>
        </w:rPr>
        <w:t xml:space="preserve"> </w:t>
      </w:r>
      <w:r>
        <w:rPr>
          <w:szCs w:val="24"/>
        </w:rPr>
        <w:t>(</w:t>
      </w:r>
      <w:r w:rsidRPr="009D25C7">
        <w:rPr>
          <w:szCs w:val="24"/>
        </w:rPr>
        <w:t xml:space="preserve">Unpublished </w:t>
      </w:r>
      <w:r>
        <w:rPr>
          <w:szCs w:val="24"/>
        </w:rPr>
        <w:t xml:space="preserve">master’s </w:t>
      </w:r>
      <w:r w:rsidRPr="009D25C7">
        <w:rPr>
          <w:szCs w:val="24"/>
        </w:rPr>
        <w:t>thesis</w:t>
      </w:r>
      <w:r>
        <w:rPr>
          <w:szCs w:val="24"/>
        </w:rPr>
        <w:t>).</w:t>
      </w:r>
      <w:r w:rsidRPr="009D25C7">
        <w:rPr>
          <w:szCs w:val="24"/>
        </w:rPr>
        <w:t xml:space="preserve"> University of Maryland, College Park, MD.</w:t>
      </w:r>
    </w:p>
    <w:p w14:paraId="1C844EF2" w14:textId="77777777" w:rsidR="008A4019" w:rsidRPr="009D25C7" w:rsidRDefault="008A4019" w:rsidP="008A4019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Presentations and Proceedings</w:t>
      </w:r>
    </w:p>
    <w:p w14:paraId="1AD54992" w14:textId="77777777" w:rsidR="008A4019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Scott, T. L. (2022, March). </w:t>
      </w:r>
      <w:r>
        <w:rPr>
          <w:i/>
          <w:iCs/>
          <w:szCs w:val="24"/>
        </w:rPr>
        <w:t>The effect of firearm relinquishment laws on gun violence</w:t>
      </w:r>
      <w:r>
        <w:rPr>
          <w:szCs w:val="24"/>
        </w:rPr>
        <w:t>.</w:t>
      </w:r>
      <w:r w:rsidRPr="009D7C2D">
        <w:rPr>
          <w:szCs w:val="24"/>
        </w:rPr>
        <w:t xml:space="preserve"> </w:t>
      </w:r>
      <w:r w:rsidRPr="009D25C7">
        <w:rPr>
          <w:szCs w:val="24"/>
        </w:rPr>
        <w:t xml:space="preserve">Paper presented at the annual meeting of the </w:t>
      </w:r>
      <w:r>
        <w:rPr>
          <w:szCs w:val="24"/>
        </w:rPr>
        <w:t>Academy of Criminal Justice Sciences</w:t>
      </w:r>
      <w:r w:rsidRPr="009D25C7">
        <w:rPr>
          <w:szCs w:val="24"/>
        </w:rPr>
        <w:t xml:space="preserve">, </w:t>
      </w:r>
      <w:r>
        <w:rPr>
          <w:szCs w:val="24"/>
        </w:rPr>
        <w:t>Las Vegas, NV</w:t>
      </w:r>
      <w:r w:rsidRPr="009D25C7">
        <w:rPr>
          <w:szCs w:val="24"/>
        </w:rPr>
        <w:t>.</w:t>
      </w:r>
      <w:r>
        <w:rPr>
          <w:szCs w:val="24"/>
        </w:rPr>
        <w:t xml:space="preserve"> </w:t>
      </w:r>
    </w:p>
    <w:p w14:paraId="03742D99" w14:textId="77777777" w:rsidR="008A4019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Scott, T. L. (2019, November). </w:t>
      </w:r>
      <w:r w:rsidRPr="003747AD">
        <w:rPr>
          <w:i/>
          <w:iCs/>
          <w:szCs w:val="24"/>
        </w:rPr>
        <w:t>Variability in sexual assault clearance methods</w:t>
      </w:r>
      <w:r>
        <w:rPr>
          <w:szCs w:val="24"/>
        </w:rPr>
        <w:t>.</w:t>
      </w:r>
      <w:r w:rsidRPr="009D7C2D">
        <w:rPr>
          <w:szCs w:val="24"/>
        </w:rPr>
        <w:t xml:space="preserve"> </w:t>
      </w:r>
      <w:r w:rsidRPr="009D25C7">
        <w:rPr>
          <w:szCs w:val="24"/>
        </w:rPr>
        <w:t xml:space="preserve">Paper presented at the annual meeting of the American Society of Criminology, </w:t>
      </w:r>
      <w:r>
        <w:rPr>
          <w:szCs w:val="24"/>
        </w:rPr>
        <w:t>San Francisco, CA</w:t>
      </w:r>
      <w:r w:rsidRPr="009D25C7">
        <w:rPr>
          <w:szCs w:val="24"/>
        </w:rPr>
        <w:t>.</w:t>
      </w:r>
      <w:r>
        <w:rPr>
          <w:szCs w:val="24"/>
        </w:rPr>
        <w:t xml:space="preserve"> </w:t>
      </w:r>
    </w:p>
    <w:p w14:paraId="1B060BF8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 (2017, November). </w:t>
      </w:r>
      <w:r w:rsidRPr="00940462">
        <w:rPr>
          <w:i/>
          <w:szCs w:val="24"/>
        </w:rPr>
        <w:t>Prisonization revisited: A broader test of the mechanisms linking facility stay to reentry</w:t>
      </w:r>
      <w:r w:rsidRPr="009D25C7">
        <w:rPr>
          <w:szCs w:val="24"/>
        </w:rPr>
        <w:t>. Paper presented at the annual meeting of the American Society of Criminology, Philadelphia, PA.</w:t>
      </w:r>
    </w:p>
    <w:p w14:paraId="5205E436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 (2016, November). </w:t>
      </w:r>
      <w:r w:rsidRPr="00940462">
        <w:rPr>
          <w:i/>
          <w:szCs w:val="24"/>
        </w:rPr>
        <w:t>Unmasking longitudinal heterogeneity in police clearance rates: An application of group-based trajectory modeling</w:t>
      </w:r>
      <w:r w:rsidRPr="009D25C7">
        <w:rPr>
          <w:szCs w:val="24"/>
        </w:rPr>
        <w:t>. Paper presented at the annual meeting of the American Society of Criminology, New Orleans, LA.</w:t>
      </w:r>
    </w:p>
    <w:p w14:paraId="4710D185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Collins, M</w:t>
      </w:r>
      <w:r>
        <w:rPr>
          <w:szCs w:val="24"/>
        </w:rPr>
        <w:t xml:space="preserve">. </w:t>
      </w:r>
      <w:r w:rsidRPr="009D25C7">
        <w:rPr>
          <w:szCs w:val="24"/>
        </w:rPr>
        <w:t>E., Parker, S</w:t>
      </w:r>
      <w:r>
        <w:rPr>
          <w:szCs w:val="24"/>
        </w:rPr>
        <w:t xml:space="preserve">. </w:t>
      </w:r>
      <w:r w:rsidRPr="009D25C7">
        <w:rPr>
          <w:szCs w:val="24"/>
        </w:rPr>
        <w:t>T., 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L., </w:t>
      </w:r>
      <w:r>
        <w:rPr>
          <w:szCs w:val="24"/>
        </w:rPr>
        <w:t xml:space="preserve">&amp; </w:t>
      </w:r>
      <w:r w:rsidRPr="009D25C7">
        <w:rPr>
          <w:szCs w:val="24"/>
        </w:rPr>
        <w:t>Wellford, C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F. (2016, April). </w:t>
      </w:r>
      <w:r w:rsidRPr="00940462">
        <w:rPr>
          <w:i/>
          <w:szCs w:val="24"/>
        </w:rPr>
        <w:t>A comparative analysis of crime guns: Implications for reducing gun violence</w:t>
      </w:r>
      <w:r w:rsidRPr="009D25C7">
        <w:rPr>
          <w:szCs w:val="24"/>
        </w:rPr>
        <w:t>. Paper presented at the Russell Sage Foundation’s meeting on underground gun markets</w:t>
      </w:r>
      <w:r>
        <w:rPr>
          <w:szCs w:val="24"/>
        </w:rPr>
        <w:t>, New York City, NY</w:t>
      </w:r>
      <w:r w:rsidRPr="009D25C7">
        <w:rPr>
          <w:szCs w:val="24"/>
        </w:rPr>
        <w:t>.</w:t>
      </w:r>
    </w:p>
    <w:p w14:paraId="6B42B65A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 (2016, April). </w:t>
      </w:r>
      <w:r w:rsidRPr="00940462">
        <w:rPr>
          <w:i/>
          <w:szCs w:val="24"/>
        </w:rPr>
        <w:t>The journey to gun crime: Movement of crime guns from purchase to recovery</w:t>
      </w:r>
      <w:r w:rsidRPr="009D25C7">
        <w:rPr>
          <w:szCs w:val="24"/>
        </w:rPr>
        <w:t xml:space="preserve">. Paper presented at the regional student conference </w:t>
      </w:r>
      <w:r>
        <w:rPr>
          <w:szCs w:val="24"/>
        </w:rPr>
        <w:t xml:space="preserve">of the </w:t>
      </w:r>
      <w:r w:rsidRPr="00A35A7A">
        <w:rPr>
          <w:szCs w:val="24"/>
        </w:rPr>
        <w:t>Association for Public Policy Analysis and Management</w:t>
      </w:r>
      <w:r>
        <w:rPr>
          <w:szCs w:val="24"/>
        </w:rPr>
        <w:t>,</w:t>
      </w:r>
      <w:r w:rsidRPr="009D25C7">
        <w:rPr>
          <w:szCs w:val="24"/>
        </w:rPr>
        <w:t xml:space="preserve"> Arlington, VA.</w:t>
      </w:r>
    </w:p>
    <w:p w14:paraId="795A8F21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Wellford, C., 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L., &amp; Collins, M. (2015, November). </w:t>
      </w:r>
      <w:r w:rsidRPr="00940462">
        <w:rPr>
          <w:i/>
          <w:szCs w:val="24"/>
        </w:rPr>
        <w:t>The movement of guns from first legal sale to use in crime: A tale of two cities</w:t>
      </w:r>
      <w:r w:rsidRPr="009D25C7">
        <w:rPr>
          <w:szCs w:val="24"/>
        </w:rPr>
        <w:t>. Paper presented at the annual meeting of the American Society of Criminology, Washington, DC.</w:t>
      </w:r>
    </w:p>
    <w:p w14:paraId="2231EFAF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</w:t>
      </w:r>
      <w:r>
        <w:rPr>
          <w:szCs w:val="24"/>
        </w:rPr>
        <w:t xml:space="preserve">. </w:t>
      </w:r>
      <w:r w:rsidRPr="009D25C7">
        <w:rPr>
          <w:szCs w:val="24"/>
        </w:rPr>
        <w:t xml:space="preserve">L. (2015, November). </w:t>
      </w:r>
      <w:proofErr w:type="gramStart"/>
      <w:r w:rsidRPr="00940462">
        <w:rPr>
          <w:i/>
          <w:szCs w:val="24"/>
        </w:rPr>
        <w:t>Certainly</w:t>
      </w:r>
      <w:proofErr w:type="gramEnd"/>
      <w:r w:rsidRPr="00940462">
        <w:rPr>
          <w:i/>
          <w:szCs w:val="24"/>
        </w:rPr>
        <w:t xml:space="preserve"> I can! The relation between individual adequacy and deviance during youth</w:t>
      </w:r>
      <w:r w:rsidRPr="009D25C7">
        <w:rPr>
          <w:szCs w:val="24"/>
        </w:rPr>
        <w:t>. Paper presented at the annual meeting of the American Society of Criminology, Washington, DC.</w:t>
      </w:r>
    </w:p>
    <w:p w14:paraId="70C4C870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lastRenderedPageBreak/>
        <w:t>Scott, T.</w:t>
      </w:r>
      <w:r>
        <w:rPr>
          <w:szCs w:val="24"/>
        </w:rPr>
        <w:t xml:space="preserve"> </w:t>
      </w:r>
      <w:r w:rsidRPr="009D25C7">
        <w:rPr>
          <w:szCs w:val="24"/>
        </w:rPr>
        <w:t xml:space="preserve">L. (2014, November). </w:t>
      </w:r>
      <w:r w:rsidRPr="00940462">
        <w:rPr>
          <w:i/>
          <w:szCs w:val="24"/>
        </w:rPr>
        <w:t>A quantitative test of the identity theory of desistance</w:t>
      </w:r>
      <w:r w:rsidRPr="009D25C7">
        <w:rPr>
          <w:szCs w:val="24"/>
        </w:rPr>
        <w:t>. Paper presented at the annual meeting of the American Society of Criminology, San Francisco, CA.</w:t>
      </w:r>
    </w:p>
    <w:p w14:paraId="484A75E9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Wellford, C., Wagers, M., &amp; Scott, T.</w:t>
      </w:r>
      <w:r>
        <w:rPr>
          <w:szCs w:val="24"/>
        </w:rPr>
        <w:t xml:space="preserve"> </w:t>
      </w:r>
      <w:r w:rsidRPr="009D25C7">
        <w:rPr>
          <w:szCs w:val="24"/>
        </w:rPr>
        <w:t xml:space="preserve">L. (2014, November). </w:t>
      </w:r>
      <w:r w:rsidRPr="00940462">
        <w:rPr>
          <w:i/>
          <w:szCs w:val="24"/>
        </w:rPr>
        <w:t>The epidemiology of crime guns: From legal sale to use in crime</w:t>
      </w:r>
      <w:r w:rsidRPr="009D25C7">
        <w:rPr>
          <w:szCs w:val="24"/>
        </w:rPr>
        <w:t>. Paper presented at the annual meeting of the American Society of Criminology, San Francisco, CA.</w:t>
      </w:r>
    </w:p>
    <w:p w14:paraId="6B9A43FC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T.</w:t>
      </w:r>
      <w:r>
        <w:rPr>
          <w:szCs w:val="24"/>
        </w:rPr>
        <w:t xml:space="preserve"> </w:t>
      </w:r>
      <w:r w:rsidRPr="009D25C7">
        <w:rPr>
          <w:szCs w:val="24"/>
        </w:rPr>
        <w:t xml:space="preserve">L. (2013, November). </w:t>
      </w:r>
      <w:r w:rsidRPr="00940462">
        <w:rPr>
          <w:i/>
          <w:szCs w:val="24"/>
        </w:rPr>
        <w:t>A quantitative test of the identity theory of desistance</w:t>
      </w:r>
      <w:r w:rsidRPr="009D25C7">
        <w:rPr>
          <w:szCs w:val="24"/>
        </w:rPr>
        <w:t>. Poster presented at the annual meeting of the American Society of Criminology, Atlanta, GA.</w:t>
      </w:r>
    </w:p>
    <w:p w14:paraId="182EFA4F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T.</w:t>
      </w:r>
      <w:r>
        <w:rPr>
          <w:szCs w:val="24"/>
        </w:rPr>
        <w:t xml:space="preserve"> </w:t>
      </w:r>
      <w:r w:rsidRPr="009D25C7">
        <w:rPr>
          <w:szCs w:val="24"/>
        </w:rPr>
        <w:t xml:space="preserve">L., &amp; Weinstock, J. (2011, November). </w:t>
      </w:r>
      <w:r w:rsidRPr="00940462">
        <w:rPr>
          <w:i/>
          <w:szCs w:val="24"/>
        </w:rPr>
        <w:t xml:space="preserve">Suicidal ideation in gamblers calling a </w:t>
      </w:r>
      <w:proofErr w:type="gramStart"/>
      <w:r w:rsidRPr="00940462">
        <w:rPr>
          <w:i/>
          <w:szCs w:val="24"/>
        </w:rPr>
        <w:t>help-line</w:t>
      </w:r>
      <w:proofErr w:type="gramEnd"/>
      <w:r w:rsidRPr="009D25C7">
        <w:rPr>
          <w:szCs w:val="24"/>
        </w:rPr>
        <w:t>. Poster presented at the annual meeting of the Association for Behavioral and Cognitive Therapies, Toronto, Canada.</w:t>
      </w:r>
    </w:p>
    <w:p w14:paraId="5D456191" w14:textId="77777777" w:rsidR="008A4019" w:rsidRPr="009D25C7" w:rsidRDefault="008A4019" w:rsidP="008A4019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Media and Communications</w:t>
      </w:r>
    </w:p>
    <w:p w14:paraId="49BCF2B5" w14:textId="77777777" w:rsidR="008A4019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Scott, T. (2022, April 18). Expanding victim services to improve witness protection and shooting investigations. Retrieved from </w:t>
      </w:r>
      <w:hyperlink r:id="rId15" w:history="1">
        <w:r w:rsidRPr="006D15D7">
          <w:rPr>
            <w:rStyle w:val="Hyperlink"/>
            <w:szCs w:val="24"/>
          </w:rPr>
          <w:t>https://thehill.com/blogs/congress-blog/3272375-expanding-victim-services-to-improve-witness-protection-and-shooting-investigations/</w:t>
        </w:r>
      </w:hyperlink>
      <w:r>
        <w:rPr>
          <w:szCs w:val="24"/>
        </w:rPr>
        <w:t xml:space="preserve"> </w:t>
      </w:r>
    </w:p>
    <w:p w14:paraId="70B7ED55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T. L. (2016, October 28). Death penalty cost $28M</w:t>
      </w:r>
      <w:r>
        <w:rPr>
          <w:szCs w:val="24"/>
        </w:rPr>
        <w:t xml:space="preserve"> [Letter to the editor]</w:t>
      </w:r>
      <w:r w:rsidRPr="009D25C7">
        <w:rPr>
          <w:szCs w:val="24"/>
        </w:rPr>
        <w:t xml:space="preserve">. </w:t>
      </w:r>
      <w:r w:rsidRPr="0076663A">
        <w:rPr>
          <w:i/>
          <w:szCs w:val="24"/>
        </w:rPr>
        <w:t>Kearney Hub</w:t>
      </w:r>
      <w:r w:rsidRPr="009D25C7">
        <w:rPr>
          <w:szCs w:val="24"/>
        </w:rPr>
        <w:t>.</w:t>
      </w:r>
      <w:r>
        <w:rPr>
          <w:szCs w:val="24"/>
        </w:rPr>
        <w:t xml:space="preserve"> Retrieved from </w:t>
      </w:r>
      <w:hyperlink r:id="rId16" w:history="1">
        <w:r w:rsidRPr="00481040">
          <w:rPr>
            <w:rStyle w:val="Hyperlink"/>
            <w:szCs w:val="24"/>
          </w:rPr>
          <w:t>https://www.kearneyhub.com/opinions/ltte/death-penalty-cost-m/article_e6659cec-9d27-11e6-93a9-d3701385bb63.html</w:t>
        </w:r>
      </w:hyperlink>
      <w:r>
        <w:rPr>
          <w:szCs w:val="24"/>
        </w:rPr>
        <w:t xml:space="preserve"> </w:t>
      </w:r>
    </w:p>
    <w:p w14:paraId="5B18BF14" w14:textId="77777777" w:rsidR="008A4019" w:rsidRPr="009D25C7" w:rsidRDefault="008A4019" w:rsidP="008A4019">
      <w:pPr>
        <w:pStyle w:val="R-Pubs-Pres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Scott, T. L. (2016, September 30). Fees feed $160M retirement fund for Nebraska’s judges</w:t>
      </w:r>
      <w:r>
        <w:rPr>
          <w:szCs w:val="24"/>
        </w:rPr>
        <w:t xml:space="preserve"> [Editorial]</w:t>
      </w:r>
      <w:r w:rsidRPr="009D25C7">
        <w:rPr>
          <w:szCs w:val="24"/>
        </w:rPr>
        <w:t xml:space="preserve">. </w:t>
      </w:r>
      <w:r w:rsidRPr="0076663A">
        <w:rPr>
          <w:i/>
          <w:szCs w:val="24"/>
        </w:rPr>
        <w:t>Kearney Hub</w:t>
      </w:r>
      <w:r w:rsidRPr="009D25C7">
        <w:rPr>
          <w:szCs w:val="24"/>
        </w:rPr>
        <w:t>.</w:t>
      </w:r>
      <w:r>
        <w:rPr>
          <w:szCs w:val="24"/>
        </w:rPr>
        <w:t xml:space="preserve"> Retrieved from </w:t>
      </w:r>
      <w:hyperlink r:id="rId17" w:history="1">
        <w:r w:rsidRPr="00481040">
          <w:rPr>
            <w:rStyle w:val="Hyperlink"/>
            <w:szCs w:val="24"/>
          </w:rPr>
          <w:t>https://www.kearneyhub.com/opinions/kearneyview/fees-feed-m-retirement-fund-for-nebraska-s-judges/article_62f1e432-8725-11e6-9612-4be4b4d67888.html</w:t>
        </w:r>
      </w:hyperlink>
      <w:r>
        <w:rPr>
          <w:szCs w:val="24"/>
        </w:rPr>
        <w:t xml:space="preserve"> </w:t>
      </w:r>
    </w:p>
    <w:p w14:paraId="46212890" w14:textId="169C27EE" w:rsidR="008A4019" w:rsidRPr="008A4019" w:rsidRDefault="008A4019" w:rsidP="008A4019">
      <w:pPr>
        <w:pStyle w:val="R-Pubs-Pres"/>
        <w:autoSpaceDE w:val="0"/>
        <w:autoSpaceDN w:val="0"/>
        <w:adjustRightInd w:val="0"/>
        <w:rPr>
          <w:szCs w:val="24"/>
          <w:highlight w:val="yellow"/>
        </w:rPr>
      </w:pPr>
      <w:r w:rsidRPr="009D25C7">
        <w:rPr>
          <w:szCs w:val="24"/>
        </w:rPr>
        <w:t>Scott, T. L. (2016, September 28). In fees we trust: Are court fees fair?</w:t>
      </w:r>
      <w:r>
        <w:rPr>
          <w:szCs w:val="24"/>
        </w:rPr>
        <w:t xml:space="preserve"> [Editorial]</w:t>
      </w:r>
      <w:r w:rsidRPr="009D25C7">
        <w:rPr>
          <w:szCs w:val="24"/>
        </w:rPr>
        <w:t xml:space="preserve"> </w:t>
      </w:r>
      <w:r w:rsidRPr="0076663A">
        <w:rPr>
          <w:i/>
          <w:szCs w:val="24"/>
        </w:rPr>
        <w:t>The North Platte Telegraph</w:t>
      </w:r>
      <w:r w:rsidRPr="009D25C7">
        <w:rPr>
          <w:szCs w:val="24"/>
        </w:rPr>
        <w:t>.</w:t>
      </w:r>
      <w:r>
        <w:rPr>
          <w:szCs w:val="24"/>
        </w:rPr>
        <w:t xml:space="preserve"> Retrieved from </w:t>
      </w:r>
      <w:hyperlink r:id="rId18" w:history="1">
        <w:r w:rsidRPr="00481040">
          <w:rPr>
            <w:rStyle w:val="Hyperlink"/>
            <w:szCs w:val="24"/>
          </w:rPr>
          <w:t>https://www.nptelegraph.com/opinion/editorials/in-fees-we-trust-are-court-fees-fair/article_6ba3d248-8509-11e6-9cb0-839a8e3c2d3f.html</w:t>
        </w:r>
      </w:hyperlink>
      <w:r>
        <w:rPr>
          <w:szCs w:val="24"/>
        </w:rPr>
        <w:t xml:space="preserve"> </w:t>
      </w:r>
    </w:p>
    <w:p w14:paraId="34661E75" w14:textId="35ACED8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Professional Associations</w:t>
      </w:r>
    </w:p>
    <w:p w14:paraId="5EC02DE7" w14:textId="0A775488" w:rsidR="0068218C" w:rsidRDefault="0068218C" w:rsidP="009D25C7">
      <w:pPr>
        <w:pStyle w:val="R-Indent"/>
        <w:keepNext/>
        <w:autoSpaceDE w:val="0"/>
        <w:autoSpaceDN w:val="0"/>
        <w:adjustRightInd w:val="0"/>
        <w:rPr>
          <w:szCs w:val="24"/>
        </w:rPr>
      </w:pPr>
      <w:r w:rsidRPr="001D6CB0">
        <w:rPr>
          <w:szCs w:val="24"/>
        </w:rPr>
        <w:t>American Society of Criminology</w:t>
      </w:r>
    </w:p>
    <w:p w14:paraId="1EF28F72" w14:textId="74FD5874" w:rsidR="00D7788D" w:rsidRPr="001D6CB0" w:rsidRDefault="00D7788D" w:rsidP="009D25C7">
      <w:pPr>
        <w:pStyle w:val="R-Indent"/>
        <w:keepNext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International Association of Chiefs of Police</w:t>
      </w:r>
    </w:p>
    <w:p w14:paraId="5BC362C8" w14:textId="7777777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Seminars and Courses Taught</w:t>
      </w:r>
    </w:p>
    <w:p w14:paraId="71B167C6" w14:textId="30992063" w:rsidR="007C71CF" w:rsidRPr="009D25C7" w:rsidRDefault="007C71CF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 xml:space="preserve">Research Methods in Criminal Justice, </w:t>
      </w:r>
      <w:proofErr w:type="spellStart"/>
      <w:r w:rsidRPr="009D25C7">
        <w:rPr>
          <w:szCs w:val="24"/>
        </w:rPr>
        <w:t>Lasell</w:t>
      </w:r>
      <w:proofErr w:type="spellEnd"/>
      <w:r w:rsidRPr="009D25C7">
        <w:rPr>
          <w:szCs w:val="24"/>
        </w:rPr>
        <w:t xml:space="preserve"> College, </w:t>
      </w:r>
      <w:r w:rsidR="006506FB" w:rsidRPr="006506FB">
        <w:rPr>
          <w:szCs w:val="24"/>
          <w:lang w:val="en"/>
        </w:rPr>
        <w:t xml:space="preserve">Auburndale, </w:t>
      </w:r>
      <w:r w:rsidR="006506FB">
        <w:rPr>
          <w:szCs w:val="24"/>
          <w:lang w:val="en"/>
        </w:rPr>
        <w:t xml:space="preserve">MA, </w:t>
      </w:r>
      <w:r w:rsidR="002F4787" w:rsidRPr="009D25C7">
        <w:rPr>
          <w:szCs w:val="24"/>
        </w:rPr>
        <w:t xml:space="preserve">fall </w:t>
      </w:r>
      <w:r w:rsidRPr="009D25C7">
        <w:rPr>
          <w:szCs w:val="24"/>
        </w:rPr>
        <w:t>2018</w:t>
      </w:r>
    </w:p>
    <w:p w14:paraId="3DE6FDF5" w14:textId="2B6DA66D" w:rsidR="007C71CF" w:rsidRPr="009D25C7" w:rsidRDefault="007C71CF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 xml:space="preserve">Corrections, University of Maryland, College Park, </w:t>
      </w:r>
      <w:r w:rsidR="006506FB">
        <w:rPr>
          <w:szCs w:val="24"/>
        </w:rPr>
        <w:t xml:space="preserve">MD, </w:t>
      </w:r>
      <w:r w:rsidR="002F4787" w:rsidRPr="009D25C7">
        <w:rPr>
          <w:szCs w:val="24"/>
        </w:rPr>
        <w:t xml:space="preserve">spring </w:t>
      </w:r>
      <w:r w:rsidRPr="009D25C7">
        <w:rPr>
          <w:szCs w:val="24"/>
        </w:rPr>
        <w:t>2017</w:t>
      </w:r>
    </w:p>
    <w:p w14:paraId="19BE83AE" w14:textId="7777777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Special Courses</w:t>
      </w:r>
    </w:p>
    <w:p w14:paraId="58DD9A77" w14:textId="76BC6D92" w:rsidR="0068218C" w:rsidRPr="002F4787" w:rsidRDefault="0068218C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2F4787">
        <w:rPr>
          <w:szCs w:val="24"/>
        </w:rPr>
        <w:t>Longitudinal Data Analysis Using Stata, Statistical Horizons Seminar, February 2018</w:t>
      </w:r>
    </w:p>
    <w:p w14:paraId="35C46EDA" w14:textId="31726EB0" w:rsidR="0068218C" w:rsidRPr="002F4787" w:rsidRDefault="0068218C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2F4787">
        <w:rPr>
          <w:szCs w:val="24"/>
        </w:rPr>
        <w:t>Longitudinal Data Analysis Using SEM, Statistical Horizons Seminar, June 2017</w:t>
      </w:r>
    </w:p>
    <w:p w14:paraId="378A5B30" w14:textId="77777777" w:rsidR="007C71CF" w:rsidRPr="009D25C7" w:rsidRDefault="007C71CF" w:rsidP="009D25C7">
      <w:pPr>
        <w:pStyle w:val="R-2h"/>
        <w:autoSpaceDE w:val="0"/>
        <w:autoSpaceDN w:val="0"/>
        <w:adjustRightInd w:val="0"/>
        <w:rPr>
          <w:szCs w:val="24"/>
        </w:rPr>
      </w:pPr>
      <w:r w:rsidRPr="009D25C7">
        <w:rPr>
          <w:szCs w:val="24"/>
        </w:rPr>
        <w:t>Computer Skills</w:t>
      </w:r>
    </w:p>
    <w:p w14:paraId="605D77F4" w14:textId="02ECF4C8" w:rsidR="0068218C" w:rsidRPr="002F4787" w:rsidRDefault="0068218C" w:rsidP="009D25C7">
      <w:pPr>
        <w:pStyle w:val="R-Indent"/>
        <w:autoSpaceDE w:val="0"/>
        <w:autoSpaceDN w:val="0"/>
        <w:adjustRightInd w:val="0"/>
        <w:rPr>
          <w:szCs w:val="24"/>
        </w:rPr>
      </w:pPr>
      <w:r w:rsidRPr="002F4787">
        <w:rPr>
          <w:szCs w:val="24"/>
        </w:rPr>
        <w:t>Stata</w:t>
      </w:r>
    </w:p>
    <w:sectPr w:rsidR="0068218C" w:rsidRPr="002F4787" w:rsidSect="00EB31B5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72F3" w14:textId="77777777" w:rsidR="003533F8" w:rsidRDefault="003533F8">
      <w:r>
        <w:separator/>
      </w:r>
    </w:p>
  </w:endnote>
  <w:endnote w:type="continuationSeparator" w:id="0">
    <w:p w14:paraId="097036BD" w14:textId="77777777" w:rsidR="003533F8" w:rsidRDefault="003533F8">
      <w:r>
        <w:continuationSeparator/>
      </w:r>
    </w:p>
  </w:endnote>
  <w:endnote w:type="continuationNotice" w:id="1">
    <w:p w14:paraId="1D39E8D8" w14:textId="77777777" w:rsidR="003533F8" w:rsidRDefault="00353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IDingbat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DAB2" w14:textId="40994120" w:rsidR="00D53B3E" w:rsidRDefault="00D53B3E" w:rsidP="0080144D">
    <w:pPr>
      <w:pStyle w:val="R-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1BAC" w14:textId="7B159C98" w:rsidR="00D53B3E" w:rsidRDefault="00D53B3E" w:rsidP="002B15B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EC0B" w14:textId="77777777" w:rsidR="003533F8" w:rsidRDefault="003533F8">
      <w:r>
        <w:separator/>
      </w:r>
    </w:p>
  </w:footnote>
  <w:footnote w:type="continuationSeparator" w:id="0">
    <w:p w14:paraId="655693C3" w14:textId="77777777" w:rsidR="003533F8" w:rsidRDefault="003533F8">
      <w:r>
        <w:continuationSeparator/>
      </w:r>
    </w:p>
  </w:footnote>
  <w:footnote w:type="continuationNotice" w:id="1">
    <w:p w14:paraId="63A6D6D5" w14:textId="77777777" w:rsidR="003533F8" w:rsidRDefault="00353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DD1" w14:textId="759C611B" w:rsidR="00D53B3E" w:rsidRDefault="00D53B3E" w:rsidP="00EB31B5">
    <w:pPr>
      <w:pStyle w:val="R-Headerpg2"/>
    </w:pPr>
    <w:r>
      <w:tab/>
      <w:t>Scott</w:t>
    </w:r>
    <w:r w:rsidRPr="00EB31B5">
      <w:t xml:space="preserve">, </w:t>
    </w:r>
    <w:r w:rsidRPr="00EB31B5"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A4D" w14:textId="421B8AE9" w:rsidR="00D53B3E" w:rsidRDefault="00D53B3E" w:rsidP="00A42D1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6B8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6437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EA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B41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ED5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A0C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CCF2A"/>
    <w:lvl w:ilvl="0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7C1A69E4"/>
    <w:lvl w:ilvl="0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6AC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044792"/>
    <w:lvl w:ilvl="0">
      <w:start w:val="1"/>
      <w:numFmt w:val="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0" w15:restartNumberingAfterBreak="0">
    <w:nsid w:val="002963EF"/>
    <w:multiLevelType w:val="hybridMultilevel"/>
    <w:tmpl w:val="EC9EED92"/>
    <w:lvl w:ilvl="0" w:tplc="A3FA1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F7698"/>
    <w:multiLevelType w:val="hybridMultilevel"/>
    <w:tmpl w:val="C874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5950"/>
    <w:multiLevelType w:val="multilevel"/>
    <w:tmpl w:val="10EC8DCE"/>
    <w:lvl w:ilvl="0">
      <w:start w:val="1"/>
      <w:numFmt w:val="bullet"/>
      <w:pStyle w:val="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1F3E"/>
    <w:multiLevelType w:val="hybridMultilevel"/>
    <w:tmpl w:val="E92E3F34"/>
    <w:lvl w:ilvl="0" w:tplc="9780B25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7CE7"/>
    <w:multiLevelType w:val="hybridMultilevel"/>
    <w:tmpl w:val="07FCBAC2"/>
    <w:lvl w:ilvl="0" w:tplc="5784CD8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F337B"/>
    <w:multiLevelType w:val="multilevel"/>
    <w:tmpl w:val="8BDE3CB6"/>
    <w:lvl w:ilvl="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RTIDingbats" w:hAnsi="RTI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41AC"/>
    <w:multiLevelType w:val="hybridMultilevel"/>
    <w:tmpl w:val="E822DC06"/>
    <w:lvl w:ilvl="0" w:tplc="676AD5D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30B9"/>
    <w:multiLevelType w:val="multilevel"/>
    <w:tmpl w:val="4F7A5FFC"/>
    <w:lvl w:ilvl="0">
      <w:start w:val="1"/>
      <w:numFmt w:val="decimal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D40132"/>
    <w:multiLevelType w:val="hybridMultilevel"/>
    <w:tmpl w:val="60B6A3CA"/>
    <w:lvl w:ilvl="0" w:tplc="1E3AF14C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4D20"/>
    <w:multiLevelType w:val="hybridMultilevel"/>
    <w:tmpl w:val="87040E52"/>
    <w:lvl w:ilvl="0" w:tplc="9C8C2B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7A0370">
      <w:numFmt w:val="none"/>
      <w:lvlText w:val=""/>
      <w:lvlJc w:val="left"/>
      <w:pPr>
        <w:tabs>
          <w:tab w:val="num" w:pos="360"/>
        </w:tabs>
      </w:pPr>
    </w:lvl>
    <w:lvl w:ilvl="2" w:tplc="23D88824">
      <w:numFmt w:val="none"/>
      <w:lvlText w:val=""/>
      <w:lvlJc w:val="left"/>
      <w:pPr>
        <w:tabs>
          <w:tab w:val="num" w:pos="360"/>
        </w:tabs>
      </w:pPr>
    </w:lvl>
    <w:lvl w:ilvl="3" w:tplc="67A6D206">
      <w:numFmt w:val="none"/>
      <w:lvlText w:val=""/>
      <w:lvlJc w:val="left"/>
      <w:pPr>
        <w:tabs>
          <w:tab w:val="num" w:pos="360"/>
        </w:tabs>
      </w:pPr>
    </w:lvl>
    <w:lvl w:ilvl="4" w:tplc="B2F4E14E">
      <w:numFmt w:val="none"/>
      <w:lvlText w:val=""/>
      <w:lvlJc w:val="left"/>
      <w:pPr>
        <w:tabs>
          <w:tab w:val="num" w:pos="360"/>
        </w:tabs>
      </w:pPr>
    </w:lvl>
    <w:lvl w:ilvl="5" w:tplc="0FCECDB4">
      <w:numFmt w:val="none"/>
      <w:lvlText w:val=""/>
      <w:lvlJc w:val="left"/>
      <w:pPr>
        <w:tabs>
          <w:tab w:val="num" w:pos="360"/>
        </w:tabs>
      </w:pPr>
    </w:lvl>
    <w:lvl w:ilvl="6" w:tplc="2FB6D6C6">
      <w:numFmt w:val="none"/>
      <w:lvlText w:val=""/>
      <w:lvlJc w:val="left"/>
      <w:pPr>
        <w:tabs>
          <w:tab w:val="num" w:pos="360"/>
        </w:tabs>
      </w:pPr>
    </w:lvl>
    <w:lvl w:ilvl="7" w:tplc="1ADE231A">
      <w:numFmt w:val="none"/>
      <w:lvlText w:val=""/>
      <w:lvlJc w:val="left"/>
      <w:pPr>
        <w:tabs>
          <w:tab w:val="num" w:pos="360"/>
        </w:tabs>
      </w:pPr>
    </w:lvl>
    <w:lvl w:ilvl="8" w:tplc="F45CF81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97819C7"/>
    <w:multiLevelType w:val="multilevel"/>
    <w:tmpl w:val="3B00D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58503C"/>
    <w:multiLevelType w:val="multilevel"/>
    <w:tmpl w:val="EAE851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01E2852"/>
    <w:multiLevelType w:val="hybridMultilevel"/>
    <w:tmpl w:val="5DAAA6B8"/>
    <w:lvl w:ilvl="0" w:tplc="6C325806">
      <w:start w:val="1"/>
      <w:numFmt w:val="bullet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1E14"/>
    <w:multiLevelType w:val="multilevel"/>
    <w:tmpl w:val="5888C03C"/>
    <w:lvl w:ilvl="0">
      <w:start w:val="1"/>
      <w:numFmt w:val="bullet"/>
      <w:lvlText w:val="▪"/>
      <w:lvlJc w:val="left"/>
      <w:pPr>
        <w:ind w:left="288" w:hanging="288"/>
      </w:pPr>
      <w:rPr>
        <w:rFonts w:ascii="Verdana" w:hAnsi="Verdana" w:hint="default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5B37"/>
    <w:multiLevelType w:val="hybridMultilevel"/>
    <w:tmpl w:val="886056CE"/>
    <w:lvl w:ilvl="0" w:tplc="A634B50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5988"/>
    <w:multiLevelType w:val="hybridMultilevel"/>
    <w:tmpl w:val="AD8A129A"/>
    <w:lvl w:ilvl="0" w:tplc="F4282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23782"/>
    <w:multiLevelType w:val="hybridMultilevel"/>
    <w:tmpl w:val="8BDE3CB6"/>
    <w:lvl w:ilvl="0" w:tplc="5818FC6C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RTIDingbats" w:hAnsi="RTI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25"/>
  </w:num>
  <w:num w:numId="10">
    <w:abstractNumId w:val="10"/>
  </w:num>
  <w:num w:numId="11">
    <w:abstractNumId w:val="14"/>
  </w:num>
  <w:num w:numId="12">
    <w:abstractNumId w:val="16"/>
  </w:num>
  <w:num w:numId="13">
    <w:abstractNumId w:val="24"/>
  </w:num>
  <w:num w:numId="14">
    <w:abstractNumId w:val="13"/>
  </w:num>
  <w:num w:numId="15">
    <w:abstractNumId w:val="17"/>
  </w:num>
  <w:num w:numId="16">
    <w:abstractNumId w:val="20"/>
  </w:num>
  <w:num w:numId="17">
    <w:abstractNumId w:val="22"/>
  </w:num>
  <w:num w:numId="18">
    <w:abstractNumId w:val="23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edact State" w:val="ready"/>
    <w:docVar w:name="CheckHeader" w:val="F"/>
    <w:docVar w:name="DocID" w:val="1111"/>
    <w:docVar w:name="ex_AddedHTMLPreformat" w:val="Consolas"/>
    <w:docVar w:name="ex_CleanUp" w:val="CleanUpComplete"/>
    <w:docVar w:name="eX_DocInfoLastUpdatedDate" w:val="43543.3646412037"/>
    <w:docVar w:name="ex_eXtylesBuild" w:val="4187"/>
    <w:docVar w:name="ex_FontAudit" w:val="APComplete"/>
    <w:docVar w:name="ex_PPCleanUp" w:val="PPCleanUpComplete"/>
    <w:docVar w:name="ex_WordVersion" w:val="16.0"/>
    <w:docVar w:name="eXtyles" w:val="active"/>
    <w:docVar w:name="eXtylesPPCSettings" w:val="optPPCSelection|False|optPPCWholeDoc|True|chkRehydrateFootnotes|0|chkRemoveParagraphShading|1|chkRemoveTextShading|1|chkConvertComments|0|comboReviews|All Reviewers|btnCommentBefore|False|btnCommentAfter|False|btnCommentEnd|False|ComboCommentColor||chkBoldComments|0|chkRemoveCommentsDTP|0|chkRemoveTextHighlights|1|chkRemoveUserCharStyles|0|chkRemoveUnusedStyles|1|chkRemoveRefTags|1|ComboRefStyle1|biblio-entry|ComboRefStyle2||chkRemoveHyperlinks|1|chkFlattenFootnotes|0|"/>
    <w:docVar w:name="ExtylesTagDescriptors" w:val="Book Reference|bok|Conference Reference|conf|Edited Book Reference|edb|Electronic Reference|eref|Journal Reference|jrn|Legal Reference|lgl|Other Reference|other|Thesis Reference|ths|Unknown Reference|unknown|"/>
    <w:docVar w:name="iceFileDir" w:val="J:\Resume_Updates\AJR"/>
    <w:docVar w:name="iceFileName" w:val="SCOTT_THOMAS-ljb_psg.docx"/>
    <w:docVar w:name="iceJABR" w:val="Resume"/>
    <w:docVar w:name="iceJournal" w:val="Resume:Resume"/>
    <w:docVar w:name="iceJournalName" w:val="Resume"/>
    <w:docVar w:name="icePublisher" w:val="RTI"/>
    <w:docVar w:name="PreEdit Baseline Path" w:val="J:\Resume_Updates\AJR\SCOTT_THOMAS-ljb_psg$base.docx"/>
    <w:docVar w:name="PreEdit Baseline Timestamp" w:val="3/19/2019 8:45:07 AM"/>
    <w:docVar w:name="PreEdit Up-Front Loss" w:val="complete"/>
  </w:docVars>
  <w:rsids>
    <w:rsidRoot w:val="00CA3294"/>
    <w:rsid w:val="00012399"/>
    <w:rsid w:val="000203C9"/>
    <w:rsid w:val="000321C9"/>
    <w:rsid w:val="000759F6"/>
    <w:rsid w:val="00082EF5"/>
    <w:rsid w:val="000955EA"/>
    <w:rsid w:val="0009698B"/>
    <w:rsid w:val="000C3A78"/>
    <w:rsid w:val="000C70C3"/>
    <w:rsid w:val="000F5168"/>
    <w:rsid w:val="000F7011"/>
    <w:rsid w:val="00115D35"/>
    <w:rsid w:val="001352A3"/>
    <w:rsid w:val="00146A70"/>
    <w:rsid w:val="0015149C"/>
    <w:rsid w:val="00164BA1"/>
    <w:rsid w:val="001664DB"/>
    <w:rsid w:val="001B51CD"/>
    <w:rsid w:val="001B5C30"/>
    <w:rsid w:val="001D6CB0"/>
    <w:rsid w:val="001E5598"/>
    <w:rsid w:val="001F4B45"/>
    <w:rsid w:val="00206406"/>
    <w:rsid w:val="00210ADA"/>
    <w:rsid w:val="002134BC"/>
    <w:rsid w:val="00221164"/>
    <w:rsid w:val="00241E6D"/>
    <w:rsid w:val="00254F68"/>
    <w:rsid w:val="00275981"/>
    <w:rsid w:val="00277066"/>
    <w:rsid w:val="00290AB5"/>
    <w:rsid w:val="002A35D9"/>
    <w:rsid w:val="002B15B2"/>
    <w:rsid w:val="002B3416"/>
    <w:rsid w:val="002B6088"/>
    <w:rsid w:val="002D54C0"/>
    <w:rsid w:val="002F4787"/>
    <w:rsid w:val="00317D5C"/>
    <w:rsid w:val="0032230D"/>
    <w:rsid w:val="003533F8"/>
    <w:rsid w:val="003711F8"/>
    <w:rsid w:val="003747AD"/>
    <w:rsid w:val="00375543"/>
    <w:rsid w:val="0038107C"/>
    <w:rsid w:val="003D5985"/>
    <w:rsid w:val="003E1BA6"/>
    <w:rsid w:val="003F1D34"/>
    <w:rsid w:val="003F46E9"/>
    <w:rsid w:val="00406503"/>
    <w:rsid w:val="004253AC"/>
    <w:rsid w:val="00442942"/>
    <w:rsid w:val="004540D1"/>
    <w:rsid w:val="00454642"/>
    <w:rsid w:val="00474E3D"/>
    <w:rsid w:val="005537F0"/>
    <w:rsid w:val="00573950"/>
    <w:rsid w:val="005A6767"/>
    <w:rsid w:val="005B12C6"/>
    <w:rsid w:val="005C4FFA"/>
    <w:rsid w:val="005C6EF6"/>
    <w:rsid w:val="00613DCD"/>
    <w:rsid w:val="006506FB"/>
    <w:rsid w:val="00664CBA"/>
    <w:rsid w:val="0067761D"/>
    <w:rsid w:val="0068218C"/>
    <w:rsid w:val="00695F08"/>
    <w:rsid w:val="006A5008"/>
    <w:rsid w:val="006A60F6"/>
    <w:rsid w:val="006F293B"/>
    <w:rsid w:val="006F52C4"/>
    <w:rsid w:val="00706A22"/>
    <w:rsid w:val="00753446"/>
    <w:rsid w:val="0076663A"/>
    <w:rsid w:val="007C71CF"/>
    <w:rsid w:val="007F58B0"/>
    <w:rsid w:val="0080144D"/>
    <w:rsid w:val="008031B4"/>
    <w:rsid w:val="00833FE5"/>
    <w:rsid w:val="00882CC5"/>
    <w:rsid w:val="00887950"/>
    <w:rsid w:val="008A4019"/>
    <w:rsid w:val="008E02D0"/>
    <w:rsid w:val="008F32A7"/>
    <w:rsid w:val="008F3884"/>
    <w:rsid w:val="009043F9"/>
    <w:rsid w:val="009165F1"/>
    <w:rsid w:val="009178E7"/>
    <w:rsid w:val="0092237F"/>
    <w:rsid w:val="0092343D"/>
    <w:rsid w:val="00940462"/>
    <w:rsid w:val="00960293"/>
    <w:rsid w:val="00967137"/>
    <w:rsid w:val="009775DE"/>
    <w:rsid w:val="00983182"/>
    <w:rsid w:val="009834D3"/>
    <w:rsid w:val="009835A6"/>
    <w:rsid w:val="009906D9"/>
    <w:rsid w:val="00994D4D"/>
    <w:rsid w:val="009D25C7"/>
    <w:rsid w:val="009D7A9C"/>
    <w:rsid w:val="009D7C2D"/>
    <w:rsid w:val="00A064A3"/>
    <w:rsid w:val="00A27937"/>
    <w:rsid w:val="00A35A7A"/>
    <w:rsid w:val="00A418C6"/>
    <w:rsid w:val="00A42D18"/>
    <w:rsid w:val="00A463DD"/>
    <w:rsid w:val="00A5112A"/>
    <w:rsid w:val="00A52090"/>
    <w:rsid w:val="00A56125"/>
    <w:rsid w:val="00A5784B"/>
    <w:rsid w:val="00A61A0D"/>
    <w:rsid w:val="00A642D8"/>
    <w:rsid w:val="00A7418A"/>
    <w:rsid w:val="00A8745C"/>
    <w:rsid w:val="00AA5C73"/>
    <w:rsid w:val="00AD5AE9"/>
    <w:rsid w:val="00AE7F6B"/>
    <w:rsid w:val="00AF13EF"/>
    <w:rsid w:val="00B01730"/>
    <w:rsid w:val="00B036C5"/>
    <w:rsid w:val="00B16B6A"/>
    <w:rsid w:val="00B2382D"/>
    <w:rsid w:val="00B242ED"/>
    <w:rsid w:val="00B279D4"/>
    <w:rsid w:val="00B42B17"/>
    <w:rsid w:val="00B45757"/>
    <w:rsid w:val="00B76A2C"/>
    <w:rsid w:val="00B824FA"/>
    <w:rsid w:val="00BA5C71"/>
    <w:rsid w:val="00BB4043"/>
    <w:rsid w:val="00BC4B03"/>
    <w:rsid w:val="00BC4D20"/>
    <w:rsid w:val="00BF6D33"/>
    <w:rsid w:val="00C11813"/>
    <w:rsid w:val="00C40212"/>
    <w:rsid w:val="00C41A34"/>
    <w:rsid w:val="00C64409"/>
    <w:rsid w:val="00C97083"/>
    <w:rsid w:val="00CA3294"/>
    <w:rsid w:val="00CC4422"/>
    <w:rsid w:val="00CE23CB"/>
    <w:rsid w:val="00CE73FD"/>
    <w:rsid w:val="00D01E4D"/>
    <w:rsid w:val="00D173F9"/>
    <w:rsid w:val="00D259B6"/>
    <w:rsid w:val="00D525C6"/>
    <w:rsid w:val="00D53B3E"/>
    <w:rsid w:val="00D7788D"/>
    <w:rsid w:val="00DE582C"/>
    <w:rsid w:val="00DF1096"/>
    <w:rsid w:val="00E22823"/>
    <w:rsid w:val="00E369C9"/>
    <w:rsid w:val="00E765FE"/>
    <w:rsid w:val="00E83C59"/>
    <w:rsid w:val="00EB31B5"/>
    <w:rsid w:val="00ED34CD"/>
    <w:rsid w:val="00ED4DBB"/>
    <w:rsid w:val="00F57143"/>
    <w:rsid w:val="00F755A5"/>
    <w:rsid w:val="00FD40F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F3446"/>
  <w15:docId w15:val="{3EEF712D-1A49-4B3A-9306-7B49635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9C9"/>
    <w:rPr>
      <w:sz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E369C9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69C9"/>
    <w:pPr>
      <w:keepNext/>
      <w:keepLines/>
      <w:spacing w:before="480" w:after="24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R-3h"/>
    <w:next w:val="Normal"/>
    <w:link w:val="Heading3Char"/>
    <w:unhideWhenUsed/>
    <w:qFormat/>
    <w:rsid w:val="00E369C9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9C9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Baseheading"/>
    <w:next w:val="Normal"/>
    <w:link w:val="Heading5Char"/>
    <w:uiPriority w:val="9"/>
    <w:semiHidden/>
    <w:qFormat/>
    <w:rsid w:val="007C71CF"/>
    <w:pPr>
      <w:keepLines/>
      <w:spacing w:after="60"/>
      <w:outlineLvl w:val="4"/>
    </w:pPr>
    <w:rPr>
      <w:i/>
      <w:sz w:val="20"/>
    </w:rPr>
  </w:style>
  <w:style w:type="paragraph" w:styleId="Heading6">
    <w:name w:val="heading 6"/>
    <w:basedOn w:val="Baseheading"/>
    <w:next w:val="Normal"/>
    <w:link w:val="Heading6Char"/>
    <w:uiPriority w:val="9"/>
    <w:semiHidden/>
    <w:qFormat/>
    <w:rsid w:val="007C71CF"/>
    <w:pPr>
      <w:spacing w:after="60"/>
      <w:outlineLvl w:val="5"/>
    </w:pPr>
    <w:rPr>
      <w:bCs/>
      <w:sz w:val="20"/>
    </w:rPr>
  </w:style>
  <w:style w:type="paragraph" w:styleId="Heading7">
    <w:name w:val="heading 7"/>
    <w:basedOn w:val="Baseheading"/>
    <w:next w:val="Normal"/>
    <w:link w:val="Heading7Char"/>
    <w:uiPriority w:val="9"/>
    <w:semiHidden/>
    <w:qFormat/>
    <w:rsid w:val="007C71CF"/>
    <w:pPr>
      <w:spacing w:before="120"/>
      <w:outlineLvl w:val="6"/>
    </w:pPr>
    <w:rPr>
      <w:rFonts w:eastAsia="MS Mincho"/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5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369C9"/>
    <w:rPr>
      <w:rFonts w:ascii="Tahoma" w:hAnsi="Tahoma" w:cs="Tahoma"/>
      <w:sz w:val="16"/>
      <w:szCs w:val="16"/>
    </w:rPr>
  </w:style>
  <w:style w:type="paragraph" w:styleId="Footer">
    <w:name w:val="footer"/>
    <w:basedOn w:val="R-footer"/>
    <w:link w:val="FooterChar"/>
    <w:rsid w:val="00E369C9"/>
    <w:rPr>
      <w:rFonts w:ascii="Arial" w:hAnsi="Arial"/>
      <w:b/>
    </w:rPr>
  </w:style>
  <w:style w:type="paragraph" w:styleId="Header">
    <w:name w:val="header"/>
    <w:basedOn w:val="Normal"/>
    <w:link w:val="HeaderChar"/>
    <w:rsid w:val="00E369C9"/>
    <w:pPr>
      <w:tabs>
        <w:tab w:val="right" w:pos="9360"/>
      </w:tabs>
    </w:pPr>
    <w:rPr>
      <w:rFonts w:cs="Arial"/>
      <w:szCs w:val="36"/>
    </w:rPr>
  </w:style>
  <w:style w:type="paragraph" w:customStyle="1" w:styleId="R-3h">
    <w:name w:val="R-3h"/>
    <w:basedOn w:val="Normal"/>
    <w:rsid w:val="00E369C9"/>
    <w:pPr>
      <w:keepNext/>
      <w:keepLines/>
      <w:spacing w:before="240" w:after="120"/>
      <w:outlineLvl w:val="1"/>
    </w:pPr>
    <w:rPr>
      <w:rFonts w:ascii="Arial" w:hAnsi="Arial" w:cs="Arial"/>
      <w:b/>
      <w:i/>
      <w:color w:val="0A357E"/>
    </w:rPr>
  </w:style>
  <w:style w:type="paragraph" w:customStyle="1" w:styleId="R-2h">
    <w:name w:val="R-2h"/>
    <w:basedOn w:val="Normal"/>
    <w:next w:val="Normal"/>
    <w:rsid w:val="00E369C9"/>
    <w:pPr>
      <w:keepNext/>
      <w:keepLines/>
      <w:spacing w:before="360" w:after="120"/>
      <w:outlineLvl w:val="0"/>
    </w:pPr>
    <w:rPr>
      <w:rFonts w:ascii="Arial" w:hAnsi="Arial"/>
      <w:b/>
      <w:color w:val="0A357E"/>
      <w:sz w:val="28"/>
    </w:rPr>
  </w:style>
  <w:style w:type="paragraph" w:customStyle="1" w:styleId="R-bullet">
    <w:name w:val="R-bullet"/>
    <w:basedOn w:val="Normal"/>
    <w:rsid w:val="00E369C9"/>
    <w:pPr>
      <w:numPr>
        <w:numId w:val="3"/>
      </w:numPr>
      <w:spacing w:after="120"/>
    </w:pPr>
  </w:style>
  <w:style w:type="paragraph" w:customStyle="1" w:styleId="R-Indent">
    <w:name w:val="R-Indent"/>
    <w:basedOn w:val="Normal"/>
    <w:rsid w:val="00E369C9"/>
    <w:pPr>
      <w:ind w:left="446" w:hanging="446"/>
    </w:pPr>
  </w:style>
  <w:style w:type="paragraph" w:customStyle="1" w:styleId="R-Employment-firstpart">
    <w:name w:val="R-Employment-firstpart"/>
    <w:basedOn w:val="Normal"/>
    <w:rsid w:val="00E369C9"/>
    <w:pPr>
      <w:keepNext/>
      <w:keepLines/>
      <w:spacing w:after="120"/>
      <w:ind w:left="720" w:hanging="720"/>
    </w:pPr>
  </w:style>
  <w:style w:type="paragraph" w:customStyle="1" w:styleId="R-Text">
    <w:name w:val="R-Text"/>
    <w:basedOn w:val="Normal"/>
    <w:rsid w:val="00E369C9"/>
    <w:pPr>
      <w:spacing w:after="120"/>
    </w:pPr>
  </w:style>
  <w:style w:type="paragraph" w:customStyle="1" w:styleId="R-Pubs-Pres">
    <w:name w:val="R-Pubs-Pres"/>
    <w:basedOn w:val="Normal"/>
    <w:link w:val="R-Pubs-PresChar"/>
    <w:rsid w:val="00E369C9"/>
    <w:pPr>
      <w:keepLines/>
      <w:spacing w:after="120"/>
      <w:ind w:left="446" w:hanging="446"/>
    </w:pPr>
  </w:style>
  <w:style w:type="paragraph" w:customStyle="1" w:styleId="R-Headerpg2">
    <w:name w:val="R-Headerpg2"/>
    <w:basedOn w:val="Normal"/>
    <w:rsid w:val="00E369C9"/>
    <w:pPr>
      <w:pBdr>
        <w:bottom w:val="single" w:sz="12" w:space="1" w:color="0A357E"/>
      </w:pBdr>
      <w:tabs>
        <w:tab w:val="right" w:pos="9360"/>
      </w:tabs>
      <w:jc w:val="right"/>
    </w:pPr>
    <w:rPr>
      <w:rFonts w:ascii="Arial" w:hAnsi="Arial" w:cs="Arial Bold"/>
      <w:b/>
      <w:caps/>
      <w:color w:val="0A357E"/>
    </w:rPr>
  </w:style>
  <w:style w:type="paragraph" w:customStyle="1" w:styleId="R-footer">
    <w:name w:val="R-footer"/>
    <w:basedOn w:val="R-Text"/>
    <w:rsid w:val="00E369C9"/>
    <w:pPr>
      <w:pBdr>
        <w:bottom w:val="single" w:sz="12" w:space="1" w:color="0A357E"/>
      </w:pBdr>
      <w:spacing w:after="0"/>
    </w:pPr>
  </w:style>
  <w:style w:type="paragraph" w:customStyle="1" w:styleId="R-Employment-secondpart">
    <w:name w:val="R-Employment-secondpart"/>
    <w:basedOn w:val="R-Employment-firstpart"/>
    <w:rsid w:val="00E369C9"/>
    <w:pPr>
      <w:keepNext w:val="0"/>
      <w:keepLines w:val="0"/>
      <w:ind w:firstLine="0"/>
    </w:pPr>
  </w:style>
  <w:style w:type="paragraph" w:customStyle="1" w:styleId="Name">
    <w:name w:val="Name"/>
    <w:link w:val="NameChar"/>
    <w:qFormat/>
    <w:rsid w:val="00E369C9"/>
    <w:pPr>
      <w:keepLines/>
      <w:pBdr>
        <w:left w:val="single" w:sz="48" w:space="4" w:color="0A357E"/>
        <w:bottom w:val="single" w:sz="12" w:space="4" w:color="0A357E"/>
      </w:pBdr>
      <w:spacing w:before="240" w:after="240"/>
      <w:outlineLvl w:val="0"/>
    </w:pPr>
    <w:rPr>
      <w:rFonts w:ascii="Arial" w:hAnsi="Arial"/>
      <w:b/>
      <w:caps/>
      <w:color w:val="0A357E"/>
      <w:sz w:val="32"/>
      <w:szCs w:val="36"/>
    </w:rPr>
  </w:style>
  <w:style w:type="paragraph" w:customStyle="1" w:styleId="Default">
    <w:name w:val="Default"/>
    <w:rsid w:val="00E369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E369C9"/>
    <w:rPr>
      <w:color w:val="0053CC"/>
      <w:u w:val="single"/>
    </w:rPr>
  </w:style>
  <w:style w:type="character" w:customStyle="1" w:styleId="R-Pubs-PresChar">
    <w:name w:val="R-Pubs-Pres Char"/>
    <w:link w:val="R-Pubs-Pres"/>
    <w:rsid w:val="00E369C9"/>
    <w:rPr>
      <w:sz w:val="22"/>
    </w:rPr>
  </w:style>
  <w:style w:type="paragraph" w:customStyle="1" w:styleId="tech-exp-head">
    <w:name w:val="tech-exp-head"/>
    <w:basedOn w:val="Normal"/>
    <w:qFormat/>
    <w:rsid w:val="00E369C9"/>
    <w:pPr>
      <w:keepNext/>
      <w:keepLines/>
      <w:spacing w:before="360" w:after="120"/>
      <w:outlineLvl w:val="1"/>
    </w:pPr>
    <w:rPr>
      <w:rFonts w:ascii="Arial" w:eastAsia="SimSun" w:hAnsi="Arial"/>
      <w:b/>
      <w:color w:val="0A357E"/>
      <w:sz w:val="28"/>
      <w:szCs w:val="22"/>
      <w:lang w:eastAsia="zh-CN"/>
    </w:rPr>
  </w:style>
  <w:style w:type="paragraph" w:customStyle="1" w:styleId="tech-exp-text">
    <w:name w:val="tech-exp-text"/>
    <w:basedOn w:val="Normal"/>
    <w:qFormat/>
    <w:rsid w:val="00E369C9"/>
    <w:pPr>
      <w:spacing w:after="120"/>
    </w:pPr>
    <w:rPr>
      <w:rFonts w:eastAsia="SimSun"/>
      <w:szCs w:val="22"/>
      <w:lang w:eastAsia="zh-CN"/>
    </w:rPr>
  </w:style>
  <w:style w:type="character" w:customStyle="1" w:styleId="NameChar">
    <w:name w:val="Name Char"/>
    <w:basedOn w:val="DefaultParagraphFont"/>
    <w:link w:val="Name"/>
    <w:rsid w:val="007C71CF"/>
    <w:rPr>
      <w:rFonts w:ascii="Arial" w:hAnsi="Arial"/>
      <w:b/>
      <w:caps/>
      <w:color w:val="0A357E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semiHidden/>
    <w:rsid w:val="009D25C7"/>
    <w:rPr>
      <w:rFonts w:ascii="Tahoma" w:hAnsi="Tahoma" w:cs="Tahoma"/>
      <w:sz w:val="16"/>
      <w:szCs w:val="16"/>
    </w:rPr>
  </w:style>
  <w:style w:type="character" w:customStyle="1" w:styleId="bibarticle">
    <w:name w:val="bib_article"/>
    <w:rsid w:val="007C71CF"/>
    <w:rPr>
      <w:bdr w:val="none" w:sz="0" w:space="0" w:color="auto"/>
      <w:shd w:val="clear" w:color="auto" w:fill="CCFFFF"/>
    </w:rPr>
  </w:style>
  <w:style w:type="character" w:customStyle="1" w:styleId="bibdoi">
    <w:name w:val="bib_doi"/>
    <w:rsid w:val="007C71CF"/>
    <w:rPr>
      <w:color w:val="0053FF"/>
      <w:bdr w:val="none" w:sz="0" w:space="0" w:color="auto"/>
      <w:shd w:val="clear" w:color="auto" w:fill="CCFFCC"/>
    </w:rPr>
  </w:style>
  <w:style w:type="character" w:customStyle="1" w:styleId="bibfname">
    <w:name w:val="bib_fname"/>
    <w:rsid w:val="007C71CF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7C71CF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7C71CF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7C71CF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7C71CF"/>
    <w:rPr>
      <w:bdr w:val="none" w:sz="0" w:space="0" w:color="auto"/>
      <w:shd w:val="clear" w:color="auto" w:fill="D9D9D9"/>
    </w:rPr>
  </w:style>
  <w:style w:type="character" w:customStyle="1" w:styleId="bibsurname">
    <w:name w:val="bib_surname"/>
    <w:rsid w:val="007C71CF"/>
    <w:rPr>
      <w:bdr w:val="none" w:sz="0" w:space="0" w:color="auto"/>
      <w:shd w:val="clear" w:color="auto" w:fill="CCFF99"/>
    </w:rPr>
  </w:style>
  <w:style w:type="character" w:customStyle="1" w:styleId="bibvolume">
    <w:name w:val="bib_volume"/>
    <w:rsid w:val="007C71CF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7C71CF"/>
    <w:rPr>
      <w:bdr w:val="none" w:sz="0" w:space="0" w:color="auto"/>
      <w:shd w:val="clear" w:color="auto" w:fill="FFCCFF"/>
    </w:rPr>
  </w:style>
  <w:style w:type="character" w:customStyle="1" w:styleId="Heading5Char">
    <w:name w:val="Heading 5 Char"/>
    <w:link w:val="Heading5"/>
    <w:uiPriority w:val="9"/>
    <w:semiHidden/>
    <w:rsid w:val="007C71CF"/>
    <w:rPr>
      <w:rFonts w:ascii="Arial" w:eastAsia="SimSun" w:hAnsi="Arial"/>
      <w:b/>
      <w:i/>
      <w:color w:val="0A357E"/>
      <w:kern w:val="28"/>
      <w:szCs w:val="22"/>
      <w:lang w:eastAsia="zh-CN"/>
    </w:rPr>
  </w:style>
  <w:style w:type="character" w:customStyle="1" w:styleId="Heading6Char">
    <w:name w:val="Heading 6 Char"/>
    <w:link w:val="Heading6"/>
    <w:uiPriority w:val="9"/>
    <w:semiHidden/>
    <w:rsid w:val="007C71CF"/>
    <w:rPr>
      <w:rFonts w:ascii="Arial" w:eastAsia="SimSun" w:hAnsi="Arial"/>
      <w:b/>
      <w:bCs/>
      <w:color w:val="0A357E"/>
      <w:kern w:val="28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7C71CF"/>
    <w:rPr>
      <w:rFonts w:ascii="Arial" w:eastAsia="MS Mincho" w:hAnsi="Arial"/>
      <w:b/>
      <w:i/>
      <w:color w:val="0A357E"/>
      <w:kern w:val="28"/>
    </w:rPr>
  </w:style>
  <w:style w:type="character" w:customStyle="1" w:styleId="FooterChar">
    <w:name w:val="Footer Char"/>
    <w:link w:val="Footer"/>
    <w:rsid w:val="007C71CF"/>
    <w:rPr>
      <w:rFonts w:ascii="Arial" w:hAnsi="Arial"/>
      <w:b/>
      <w:sz w:val="22"/>
    </w:rPr>
  </w:style>
  <w:style w:type="character" w:customStyle="1" w:styleId="HeaderChar">
    <w:name w:val="Header Char"/>
    <w:link w:val="Header"/>
    <w:rsid w:val="007C71CF"/>
    <w:rPr>
      <w:rFonts w:cs="Arial"/>
      <w:sz w:val="22"/>
      <w:szCs w:val="36"/>
    </w:rPr>
  </w:style>
  <w:style w:type="character" w:customStyle="1" w:styleId="Heading1Char">
    <w:name w:val="Heading 1 Char"/>
    <w:link w:val="Heading1"/>
    <w:rsid w:val="007C71CF"/>
    <w:rPr>
      <w:b/>
    </w:rPr>
  </w:style>
  <w:style w:type="character" w:customStyle="1" w:styleId="Heading2Char">
    <w:name w:val="Heading 2 Char"/>
    <w:link w:val="Heading2"/>
    <w:rsid w:val="007C71CF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7C71CF"/>
    <w:rPr>
      <w:rFonts w:ascii="Arial" w:hAnsi="Arial" w:cs="Arial"/>
      <w:b/>
      <w:i/>
      <w:color w:val="0A357E"/>
      <w:sz w:val="22"/>
    </w:rPr>
  </w:style>
  <w:style w:type="character" w:customStyle="1" w:styleId="Heading4Char">
    <w:name w:val="Heading 4 Char"/>
    <w:link w:val="Heading4"/>
    <w:semiHidden/>
    <w:rsid w:val="007C71CF"/>
    <w:rPr>
      <w:b/>
    </w:rPr>
  </w:style>
  <w:style w:type="paragraph" w:styleId="ListBullet">
    <w:name w:val="List Bullet"/>
    <w:basedOn w:val="Normal"/>
    <w:uiPriority w:val="99"/>
    <w:semiHidden/>
    <w:unhideWhenUsed/>
    <w:rsid w:val="007C71CF"/>
    <w:pPr>
      <w:numPr>
        <w:numId w:val="19"/>
      </w:numPr>
      <w:contextualSpacing/>
    </w:pPr>
  </w:style>
  <w:style w:type="table" w:styleId="PlainTable1">
    <w:name w:val="Plain Table 1"/>
    <w:aliases w:val="SAKI_Table3"/>
    <w:basedOn w:val="TableNormal"/>
    <w:uiPriority w:val="41"/>
    <w:rsid w:val="007C71C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shd w:val="clear" w:color="auto" w:fill="00447C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FE9AB"/>
      </w:tcPr>
    </w:tblStylePr>
  </w:style>
  <w:style w:type="paragraph" w:customStyle="1" w:styleId="Baseheading">
    <w:name w:val="Base_heading"/>
    <w:rsid w:val="007C71CF"/>
    <w:pPr>
      <w:keepNext/>
      <w:spacing w:before="360" w:after="120"/>
      <w:outlineLvl w:val="0"/>
    </w:pPr>
    <w:rPr>
      <w:rFonts w:ascii="Arial" w:eastAsia="SimSun" w:hAnsi="Arial"/>
      <w:b/>
      <w:color w:val="0A357E"/>
      <w:kern w:val="28"/>
      <w:sz w:val="28"/>
      <w:szCs w:val="22"/>
      <w:lang w:eastAsia="zh-CN"/>
    </w:rPr>
  </w:style>
  <w:style w:type="paragraph" w:customStyle="1" w:styleId="Basetext">
    <w:name w:val="Base_text"/>
    <w:rsid w:val="007C71CF"/>
    <w:rPr>
      <w:rFonts w:eastAsia="SimSun"/>
      <w:sz w:val="22"/>
      <w:szCs w:val="22"/>
      <w:lang w:eastAsia="zh-CN"/>
    </w:rPr>
  </w:style>
  <w:style w:type="paragraph" w:customStyle="1" w:styleId="biblio-entry">
    <w:name w:val="biblio-entry"/>
    <w:basedOn w:val="Basetext"/>
    <w:link w:val="biblio-entryChar"/>
    <w:qFormat/>
    <w:rsid w:val="007C71CF"/>
    <w:pPr>
      <w:keepLines/>
      <w:spacing w:after="120"/>
      <w:ind w:left="446" w:hanging="446"/>
    </w:pPr>
  </w:style>
  <w:style w:type="paragraph" w:styleId="CommentText">
    <w:name w:val="annotation text"/>
    <w:basedOn w:val="Normal"/>
    <w:link w:val="CommentTextChar"/>
    <w:rsid w:val="007C71CF"/>
  </w:style>
  <w:style w:type="character" w:customStyle="1" w:styleId="CommentTextChar">
    <w:name w:val="Comment Text Char"/>
    <w:link w:val="CommentText"/>
    <w:rsid w:val="007C71CF"/>
    <w:rPr>
      <w:rFonts w:eastAsia="SimSun"/>
      <w:sz w:val="22"/>
      <w:szCs w:val="22"/>
      <w:lang w:eastAsia="zh-CN"/>
    </w:rPr>
  </w:style>
  <w:style w:type="character" w:styleId="CommentReference">
    <w:name w:val="annotation reference"/>
    <w:rsid w:val="007C71CF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C71CF"/>
  </w:style>
  <w:style w:type="character" w:customStyle="1" w:styleId="EndnoteTextChar">
    <w:name w:val="Endnote Text Char"/>
    <w:link w:val="EndnoteText"/>
    <w:semiHidden/>
    <w:rsid w:val="007C71CF"/>
    <w:rPr>
      <w:sz w:val="22"/>
    </w:rPr>
  </w:style>
  <w:style w:type="paragraph" w:styleId="Revision">
    <w:name w:val="Revision"/>
    <w:hidden/>
    <w:uiPriority w:val="99"/>
    <w:semiHidden/>
    <w:rsid w:val="007C71CF"/>
    <w:rPr>
      <w:rFonts w:eastAsia="SimSun"/>
      <w:sz w:val="22"/>
      <w:szCs w:val="22"/>
      <w:lang w:eastAsia="zh-CN"/>
    </w:rPr>
  </w:style>
  <w:style w:type="character" w:customStyle="1" w:styleId="biblio-entryChar">
    <w:name w:val="biblio-entry Char"/>
    <w:basedOn w:val="DefaultParagraphFont"/>
    <w:link w:val="biblio-entry"/>
    <w:rsid w:val="00A61A0D"/>
    <w:rPr>
      <w:rFonts w:eastAsia="SimSun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9D25C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5C7"/>
    <w:rPr>
      <w:rFonts w:eastAsia="SimSun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9D2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9D2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ListBullet4">
    <w:name w:val="List Bullet 4"/>
    <w:basedOn w:val="Normal"/>
    <w:semiHidden/>
    <w:unhideWhenUsed/>
    <w:rsid w:val="009D25C7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9D25C7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unhideWhenUsed/>
    <w:rsid w:val="009D25C7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unhideWhenUsed/>
    <w:rsid w:val="009D25C7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unhideWhenUsed/>
    <w:rsid w:val="009D25C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9D25C7"/>
    <w:pPr>
      <w:numPr>
        <w:numId w:val="2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F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FB"/>
    <w:rPr>
      <w:rFonts w:eastAsia="SimSun"/>
      <w:b/>
      <w:bCs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666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C2D"/>
    <w:pPr>
      <w:ind w:left="720"/>
    </w:pPr>
    <w:rPr>
      <w:rFonts w:ascii="Calibri" w:eastAsiaTheme="minorHAnsi" w:hAnsi="Calibri" w:cs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68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9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PIJPSM-03-2021-0051" TargetMode="External"/><Relationship Id="rId13" Type="http://schemas.openxmlformats.org/officeDocument/2006/relationships/hyperlink" Target="https://doi.org/10.7758/rsf.2017.3.5.05" TargetMode="External"/><Relationship Id="rId18" Type="http://schemas.openxmlformats.org/officeDocument/2006/relationships/hyperlink" Target="https://www.nptelegraph.com/opinion/editorials/in-fees-we-trust-are-court-fees-fair/article_6ba3d248-8509-11e6-9cb0-839a8e3c2d3f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oi.org/10.1108/PIJPSM-02-2021-0025" TargetMode="External"/><Relationship Id="rId12" Type="http://schemas.openxmlformats.org/officeDocument/2006/relationships/hyperlink" Target="https://doi.org/10.1177%2F1098611118796597" TargetMode="External"/><Relationship Id="rId17" Type="http://schemas.openxmlformats.org/officeDocument/2006/relationships/hyperlink" Target="https://www.kearneyhub.com/opinions/kearneyview/fees-feed-m-retirement-fund-for-nebraska-s-judges/article_62f1e432-8725-11e6-9612-4be4b4d678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arneyhub.com/opinions/ltte/death-penalty-cost-m/article_e6659cec-9d27-11e6-93a9-d3701385bb63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1745-9133.124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hehill.com/blogs/congress-blog/3272375-expanding-victim-services-to-improve-witness-protection-and-shooting-investig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80/23774657.2019.160248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crimjus.2020.101746" TargetMode="External"/><Relationship Id="rId14" Type="http://schemas.openxmlformats.org/officeDocument/2006/relationships/hyperlink" Target="https://doi.org/10.3109/16066359.2013.868445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esume_R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Resume_RTI.dotx</Template>
  <TotalTime>2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SCOTT_THOMAS</vt:lpstr>
    </vt:vector>
  </TitlesOfParts>
  <Company>RTI International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SCOTT_THOMAS</dc:title>
  <dc:creator>Michelle Myers</dc:creator>
  <cp:lastModifiedBy>Scott, Tom</cp:lastModifiedBy>
  <cp:revision>2</cp:revision>
  <cp:lastPrinted>2008-02-26T19:25:00Z</cp:lastPrinted>
  <dcterms:created xsi:type="dcterms:W3CDTF">2022-05-02T17:55:00Z</dcterms:created>
  <dcterms:modified xsi:type="dcterms:W3CDTF">2022-05-02T17:55:00Z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">
    <vt:bool>true</vt:bool>
  </property>
</Properties>
</file>